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3BFE8">
      <w:pPr>
        <w:widowControl/>
        <w:shd w:val="clear" w:color="auto" w:fill="FFFFFF"/>
        <w:spacing w:before="300" w:line="360" w:lineRule="atLeas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shd w:val="clear" w:color="auto" w:fill="FFFFFF"/>
          <w:lang w:bidi="ar"/>
        </w:rPr>
        <w:t>行政处罚信息公开表</w:t>
      </w:r>
      <w:bookmarkStart w:id="0" w:name="_GoBack"/>
      <w:bookmarkEnd w:id="0"/>
    </w:p>
    <w:tbl>
      <w:tblPr>
        <w:tblStyle w:val="3"/>
        <w:tblW w:w="14640" w:type="dxa"/>
        <w:tblInd w:w="0" w:type="dxa"/>
        <w:tblLayout w:type="fixed"/>
        <w:tblCellMar>
          <w:top w:w="0" w:type="dxa"/>
          <w:left w:w="0" w:type="dxa"/>
          <w:bottom w:w="0" w:type="dxa"/>
          <w:right w:w="0" w:type="dxa"/>
        </w:tblCellMar>
      </w:tblPr>
      <w:tblGrid>
        <w:gridCol w:w="291"/>
        <w:gridCol w:w="892"/>
        <w:gridCol w:w="618"/>
        <w:gridCol w:w="856"/>
        <w:gridCol w:w="1502"/>
        <w:gridCol w:w="645"/>
        <w:gridCol w:w="3150"/>
        <w:gridCol w:w="3000"/>
        <w:gridCol w:w="2057"/>
        <w:gridCol w:w="725"/>
        <w:gridCol w:w="904"/>
      </w:tblGrid>
      <w:tr w14:paraId="18281701">
        <w:tblPrEx>
          <w:tblCellMar>
            <w:top w:w="0" w:type="dxa"/>
            <w:left w:w="0" w:type="dxa"/>
            <w:bottom w:w="0" w:type="dxa"/>
            <w:right w:w="0" w:type="dxa"/>
          </w:tblCellMar>
        </w:tblPrEx>
        <w:trPr>
          <w:trHeight w:val="1500" w:hRule="atLeast"/>
        </w:trPr>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4C14F">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序号</w:t>
            </w:r>
          </w:p>
        </w:tc>
        <w:tc>
          <w:tcPr>
            <w:tcW w:w="8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B37F8">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行政处罚决定书文号</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D3E3">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案件名称</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CBAD0">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违法企业名称或违法自然人姓名</w:t>
            </w:r>
          </w:p>
        </w:tc>
        <w:tc>
          <w:tcPr>
            <w:tcW w:w="1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D262B">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违法企业社会信用代码</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51A0A">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法定代表人姓名</w:t>
            </w:r>
          </w:p>
        </w:tc>
        <w:tc>
          <w:tcPr>
            <w:tcW w:w="3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0DEBB">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主要违法事实</w:t>
            </w:r>
          </w:p>
        </w:tc>
        <w:tc>
          <w:tcPr>
            <w:tcW w:w="3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771F0">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行政处罚的种类和依据</w:t>
            </w:r>
          </w:p>
        </w:tc>
        <w:tc>
          <w:tcPr>
            <w:tcW w:w="2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EBA04">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行政处罚的履行方式和期限</w:t>
            </w: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8EFA6">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做出处罚的机关名称和日期</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AE7FA">
            <w:pPr>
              <w:widowControl/>
              <w:spacing w:line="360" w:lineRule="atLeas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备注</w:t>
            </w:r>
          </w:p>
        </w:tc>
      </w:tr>
      <w:tr w14:paraId="52597AEC">
        <w:tblPrEx>
          <w:tblCellMar>
            <w:top w:w="0" w:type="dxa"/>
            <w:left w:w="0" w:type="dxa"/>
            <w:bottom w:w="0" w:type="dxa"/>
            <w:right w:w="0" w:type="dxa"/>
          </w:tblCellMar>
        </w:tblPrEx>
        <w:trPr>
          <w:trHeight w:val="2155" w:hRule="atLeast"/>
        </w:trPr>
        <w:tc>
          <w:tcPr>
            <w:tcW w:w="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5BA3">
            <w:pPr>
              <w:widowControl/>
              <w:spacing w:line="330" w:lineRule="atLeas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1</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746F">
            <w:pPr>
              <w:widowControl/>
              <w:spacing w:line="330" w:lineRule="atLeast"/>
              <w:jc w:val="left"/>
              <w:textAlignment w:val="center"/>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eastAsia="zh-CN"/>
              </w:rPr>
              <w:t>闽药监厦稽办处罚〔2024〕014号</w:t>
            </w:r>
          </w:p>
          <w:p w14:paraId="73856056">
            <w:pPr>
              <w:widowControl/>
              <w:spacing w:line="330" w:lineRule="atLeast"/>
              <w:jc w:val="left"/>
              <w:textAlignment w:val="center"/>
              <w:rPr>
                <w:rFonts w:hint="eastAsia" w:ascii="仿宋_GB2312" w:hAnsi="仿宋_GB2312" w:eastAsia="仿宋_GB2312" w:cs="仿宋_GB2312"/>
                <w:color w:val="000000"/>
                <w:sz w:val="22"/>
                <w:szCs w:val="22"/>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04EB">
            <w:pPr>
              <w:widowControl/>
              <w:spacing w:line="330" w:lineRule="atLeas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eastAsia="zh-CN"/>
              </w:rPr>
              <w:t>福建铭远制药有限公司生产劣药薤白案</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C385">
            <w:pPr>
              <w:widowControl/>
              <w:spacing w:line="330" w:lineRule="atLeas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福建铭远制药有限公司</w:t>
            </w:r>
          </w:p>
        </w:tc>
        <w:tc>
          <w:tcPr>
            <w:tcW w:w="1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6787">
            <w:pPr>
              <w:widowControl/>
              <w:spacing w:line="330" w:lineRule="atLeas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913505835550684478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9590">
            <w:pPr>
              <w:widowControl/>
              <w:spacing w:line="330" w:lineRule="atLeast"/>
              <w:jc w:val="left"/>
              <w:textAlignment w:val="center"/>
              <w:rPr>
                <w:rFonts w:hint="default" w:ascii="仿宋_GB2312" w:hAnsi="仿宋_GB2312" w:eastAsia="仿宋_GB2312" w:cs="仿宋_GB2312"/>
                <w:color w:val="000000"/>
                <w:sz w:val="22"/>
                <w:szCs w:val="22"/>
                <w:lang w:val="en-US" w:eastAsia="zh-CN"/>
              </w:rPr>
            </w:pPr>
            <w:r>
              <w:rPr>
                <w:rFonts w:hint="eastAsia" w:ascii="仿宋_GB2312" w:hAnsi="仿宋_GB2312" w:eastAsia="仿宋_GB2312" w:cs="仿宋_GB2312"/>
                <w:color w:val="000000"/>
                <w:sz w:val="22"/>
                <w:szCs w:val="22"/>
                <w:lang w:eastAsia="zh-CN"/>
              </w:rPr>
              <w:t>吴</w:t>
            </w:r>
            <w:r>
              <w:rPr>
                <w:rFonts w:hint="eastAsia" w:ascii="仿宋_GB2312" w:hAnsi="仿宋_GB2312" w:eastAsia="仿宋_GB2312" w:cs="仿宋_GB2312"/>
                <w:color w:val="000000"/>
                <w:sz w:val="22"/>
                <w:szCs w:val="22"/>
                <w:lang w:val="en-US" w:eastAsia="zh-CN"/>
              </w:rPr>
              <w:t>**</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3DD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40" w:firstLineChars="200"/>
              <w:jc w:val="left"/>
              <w:textAlignment w:val="center"/>
              <w:outlineLvl w:val="9"/>
              <w:rPr>
                <w:rFonts w:hint="eastAsia" w:ascii="仿宋_GB2312" w:hAnsi="仿宋_GB2312" w:eastAsia="仿宋_GB2312" w:cs="仿宋_GB2312"/>
                <w:color w:val="000000"/>
                <w:sz w:val="22"/>
                <w:szCs w:val="22"/>
                <w:lang w:val="en-US" w:eastAsia="zh-CN"/>
              </w:rPr>
            </w:pPr>
            <w:r>
              <w:rPr>
                <w:rFonts w:hint="eastAsia" w:ascii="仿宋_GB2312" w:hAnsi="仿宋_GB2312" w:eastAsia="仿宋_GB2312" w:cs="仿宋_GB2312"/>
                <w:color w:val="000000"/>
                <w:sz w:val="22"/>
                <w:szCs w:val="22"/>
                <w:lang w:val="en-US" w:eastAsia="zh-CN"/>
              </w:rPr>
              <w:t>当事人于2024年4月17日至20日期间，铭远制药用上述原药材生产了涉案批次中药饮片薤白99kg，经检验合格后放行。5月9日，省药检院对涉案批次薤白进行抽样，抽样数量为1.5kg，剩余涉案批次薤白尚未销售，数量为97.5kg。根据省药检院所购买抽样样品的单价，参考铭远制药中药饮片的定价规则，确定涉案批次薤白销售价格为75元/千克，总货值金额为7425元，违法所得为112.5元。</w:t>
            </w:r>
          </w:p>
          <w:p w14:paraId="5C6C8603">
            <w:pPr>
              <w:keepNext w:val="0"/>
              <w:keepLines w:val="0"/>
              <w:pageBreakBefore w:val="0"/>
              <w:widowControl/>
              <w:kinsoku/>
              <w:wordWrap/>
              <w:overflowPunct/>
              <w:topLinePunct w:val="0"/>
              <w:autoSpaceDE/>
              <w:autoSpaceDN/>
              <w:bidi w:val="0"/>
              <w:adjustRightInd/>
              <w:snapToGrid/>
              <w:spacing w:line="240" w:lineRule="auto"/>
              <w:ind w:right="0" w:rightChars="0" w:firstLine="440" w:firstLineChars="200"/>
              <w:jc w:val="left"/>
              <w:textAlignment w:val="center"/>
              <w:outlineLvl w:val="9"/>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rPr>
              <w:t>当事人生产的批号为240401</w:t>
            </w:r>
            <w:r>
              <w:rPr>
                <w:rFonts w:ascii="Times New Roman" w:hAnsi="Times New Roman" w:eastAsia="仿宋_GB2312"/>
                <w:lang w:eastAsia="zh-CN"/>
              </w:rPr>
              <w:t>薤白</w:t>
            </w:r>
            <w:r>
              <w:rPr>
                <w:rFonts w:hint="eastAsia" w:ascii="Times New Roman" w:hAnsi="Times New Roman" w:eastAsia="仿宋_GB2312"/>
                <w:lang w:eastAsia="zh-CN"/>
              </w:rPr>
              <w:t>水分</w:t>
            </w:r>
            <w:r>
              <w:rPr>
                <w:rFonts w:hint="eastAsia" w:ascii="仿宋_GB2312" w:hAnsi="仿宋_GB2312" w:eastAsia="仿宋_GB2312" w:cs="仿宋_GB2312"/>
                <w:color w:val="000000"/>
                <w:sz w:val="22"/>
                <w:szCs w:val="22"/>
                <w:lang w:val="en-US" w:eastAsia="zh-CN"/>
              </w:rPr>
              <w:t>经检验不符合规定，属于《中华人民共和国药品管理法》第九十八条第三款第七项规定的情形，为劣药，违反了《中华人民共和国药品管理法》第九十八条第一款的规定，构成了生产劣药的违法行为。根据</w:t>
            </w:r>
            <w:r>
              <w:rPr>
                <w:rFonts w:ascii="Times New Roman" w:hAnsi="Times New Roman" w:eastAsia="仿宋_GB2312"/>
                <w:lang w:eastAsia="zh-CN"/>
              </w:rPr>
              <w:t>《福建省药品监督管理局关于中药饮片不符合药品标准尚不影响安全性有效性的认定指导意见</w:t>
            </w:r>
            <w:r>
              <w:rPr>
                <w:rFonts w:ascii="Times New Roman" w:hAnsi="Times New Roman" w:eastAsia="仿宋_GB2312"/>
                <w:lang w:eastAsia="zh-CN"/>
              </w:rPr>
              <w:t>》</w:t>
            </w:r>
            <w:r>
              <w:rPr>
                <w:rFonts w:hint="eastAsia" w:ascii="Times New Roman" w:hAnsi="Times New Roman" w:eastAsia="仿宋_GB2312"/>
                <w:lang w:eastAsia="zh-CN"/>
              </w:rPr>
              <w:t>，</w:t>
            </w:r>
            <w:r>
              <w:rPr>
                <w:rFonts w:hint="eastAsia" w:ascii="仿宋_GB2312" w:hAnsi="仿宋_GB2312" w:eastAsia="仿宋_GB2312" w:cs="仿宋_GB2312"/>
                <w:color w:val="000000"/>
                <w:sz w:val="22"/>
                <w:szCs w:val="22"/>
                <w:lang w:val="en-US" w:eastAsia="zh-CN"/>
              </w:rPr>
              <w:t xml:space="preserve">涉案批次薤白符合其第二条的规定，且未有第四条所规定的情形，依据第十条召开的专家审评会认定意见，属于可以适用于《药品管理法》第一百一十七条第二款的情形。   </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0613">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eastAsia="zh-CN"/>
              </w:rPr>
              <w:t>依据《行政处罚法》第二十八条、《药品管理法》第一百一十七条第二款、《福建省药品监管行政处罚裁量适用细则》第十一条第一款第二、三项、第十二条第五项、第十三条第一款第七项的规定，决定给予当事人如下处理：</w:t>
            </w:r>
          </w:p>
          <w:p w14:paraId="3DC82590">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eastAsia="zh-CN"/>
              </w:rPr>
              <w:t>一、警告；</w:t>
            </w:r>
          </w:p>
          <w:p w14:paraId="3B24B724">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eastAsia="zh-CN"/>
              </w:rPr>
              <w:t>二、责令改正；</w:t>
            </w:r>
          </w:p>
          <w:p w14:paraId="176ED397">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eastAsia="zh-CN"/>
              </w:rPr>
              <w:t>三、没收违法所得112.5元（壹佰壹拾贰元伍角整）;</w:t>
            </w:r>
          </w:p>
          <w:p w14:paraId="7AE3E8F0">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eastAsia="zh-CN"/>
              </w:rPr>
              <w:t>四、罚款400000元（肆拾万元整）。</w:t>
            </w:r>
          </w:p>
          <w:p w14:paraId="107E871E">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eastAsia="zh-CN"/>
              </w:rPr>
              <w:t>以上罚没款合计400112.5元（肆拾万壹佰壹拾贰元伍角整）。</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41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40" w:firstLineChars="200"/>
              <w:jc w:val="left"/>
              <w:textAlignment w:val="auto"/>
              <w:outlineLvl w:val="9"/>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当事人应自接到本行政处罚决定之日起15日内缴纳上述罚没款。当事人根据厦门药品稽查办公室开具的行政处罚缴款通知书，自行选择缴款方式。逾期不缴纳罚款的，依据《中华人民共和国行政处罚法》第</w:t>
            </w:r>
            <w:r>
              <w:rPr>
                <w:rFonts w:hint="eastAsia" w:ascii="仿宋_GB2312" w:hAnsi="仿宋_GB2312" w:eastAsia="仿宋_GB2312" w:cs="仿宋_GB2312"/>
                <w:color w:val="000000"/>
                <w:sz w:val="22"/>
                <w:szCs w:val="22"/>
                <w:lang w:eastAsia="zh-CN"/>
              </w:rPr>
              <w:t>七十二</w:t>
            </w:r>
            <w:r>
              <w:rPr>
                <w:rFonts w:hint="eastAsia" w:ascii="仿宋_GB2312" w:hAnsi="仿宋_GB2312" w:eastAsia="仿宋_GB2312" w:cs="仿宋_GB2312"/>
                <w:color w:val="000000"/>
                <w:sz w:val="22"/>
                <w:szCs w:val="22"/>
              </w:rPr>
              <w:t>条的规定，我办将每日按罚款数额的百分之三加处罚款，并依法申请人民法院强制执行。</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4585">
            <w:pPr>
              <w:widowControl/>
              <w:spacing w:line="330" w:lineRule="atLeas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福建省药品监督管理局</w:t>
            </w:r>
            <w:r>
              <w:rPr>
                <w:rFonts w:hint="eastAsia" w:ascii="仿宋_GB2312" w:hAnsi="仿宋_GB2312" w:eastAsia="仿宋_GB2312" w:cs="仿宋_GB2312"/>
                <w:color w:val="000000"/>
                <w:kern w:val="0"/>
                <w:sz w:val="22"/>
                <w:szCs w:val="22"/>
                <w:lang w:eastAsia="zh-CN" w:bidi="ar"/>
              </w:rPr>
              <w:t>厦门药品稽查办公室</w:t>
            </w:r>
            <w:r>
              <w:rPr>
                <w:rFonts w:hint="eastAsia" w:ascii="仿宋_GB2312" w:hAnsi="仿宋_GB2312" w:eastAsia="仿宋_GB2312" w:cs="仿宋_GB2312"/>
                <w:color w:val="000000"/>
                <w:kern w:val="0"/>
                <w:sz w:val="22"/>
                <w:szCs w:val="22"/>
                <w:lang w:bidi="ar"/>
              </w:rPr>
              <w:t>，20</w:t>
            </w:r>
            <w:r>
              <w:rPr>
                <w:rFonts w:hint="eastAsia" w:ascii="仿宋_GB2312" w:hAnsi="仿宋_GB2312" w:eastAsia="仿宋_GB2312" w:cs="仿宋_GB2312"/>
                <w:color w:val="000000"/>
                <w:kern w:val="0"/>
                <w:sz w:val="22"/>
                <w:szCs w:val="22"/>
                <w:lang w:val="en-US" w:eastAsia="zh-CN" w:bidi="ar"/>
              </w:rPr>
              <w:t>24</w:t>
            </w:r>
            <w:r>
              <w:rPr>
                <w:rFonts w:hint="eastAsia" w:ascii="仿宋_GB2312" w:hAnsi="仿宋_GB2312" w:eastAsia="仿宋_GB2312" w:cs="仿宋_GB2312"/>
                <w:color w:val="000000"/>
                <w:kern w:val="0"/>
                <w:sz w:val="22"/>
                <w:szCs w:val="22"/>
                <w:lang w:bidi="ar"/>
              </w:rPr>
              <w:t>年</w:t>
            </w:r>
            <w:r>
              <w:rPr>
                <w:rFonts w:hint="eastAsia" w:ascii="仿宋_GB2312" w:hAnsi="仿宋_GB2312" w:eastAsia="仿宋_GB2312" w:cs="仿宋_GB2312"/>
                <w:color w:val="000000"/>
                <w:kern w:val="0"/>
                <w:sz w:val="22"/>
                <w:szCs w:val="22"/>
                <w:lang w:val="en-US" w:eastAsia="zh-CN" w:bidi="ar"/>
              </w:rPr>
              <w:t>11</w:t>
            </w:r>
            <w:r>
              <w:rPr>
                <w:rFonts w:hint="eastAsia" w:ascii="仿宋_GB2312" w:hAnsi="仿宋_GB2312" w:eastAsia="仿宋_GB2312" w:cs="仿宋_GB2312"/>
                <w:color w:val="000000"/>
                <w:kern w:val="0"/>
                <w:sz w:val="22"/>
                <w:szCs w:val="22"/>
                <w:lang w:bidi="ar"/>
              </w:rPr>
              <w:t>月</w:t>
            </w:r>
            <w:r>
              <w:rPr>
                <w:rFonts w:hint="eastAsia" w:ascii="仿宋_GB2312" w:hAnsi="仿宋_GB2312" w:eastAsia="仿宋_GB2312" w:cs="仿宋_GB2312"/>
                <w:color w:val="000000"/>
                <w:kern w:val="0"/>
                <w:sz w:val="22"/>
                <w:szCs w:val="22"/>
                <w:lang w:val="en-US" w:eastAsia="zh-CN" w:bidi="ar"/>
              </w:rPr>
              <w:t>6</w:t>
            </w:r>
            <w:r>
              <w:rPr>
                <w:rFonts w:hint="eastAsia" w:ascii="仿宋_GB2312" w:hAnsi="仿宋_GB2312" w:eastAsia="仿宋_GB2312" w:cs="仿宋_GB2312"/>
                <w:color w:val="000000"/>
                <w:kern w:val="0"/>
                <w:sz w:val="22"/>
                <w:szCs w:val="22"/>
                <w:lang w:bidi="ar"/>
              </w:rPr>
              <w:t>日。</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0EA1">
            <w:pPr>
              <w:widowControl/>
              <w:spacing w:line="330" w:lineRule="atLeast"/>
              <w:jc w:val="left"/>
              <w:textAlignment w:val="center"/>
              <w:rPr>
                <w:rFonts w:hint="eastAsia" w:ascii="仿宋_GB2312" w:hAnsi="仿宋_GB2312" w:eastAsia="仿宋_GB2312" w:cs="仿宋_GB2312"/>
                <w:color w:val="000000"/>
                <w:sz w:val="22"/>
                <w:szCs w:val="22"/>
              </w:rPr>
            </w:pPr>
          </w:p>
        </w:tc>
      </w:tr>
    </w:tbl>
    <w:p w14:paraId="0F66EB24">
      <w:pPr>
        <w:rPr>
          <w:rFonts w:hint="eastAsia" w:ascii="仿宋_GB2312" w:hAnsi="仿宋_GB2312" w:eastAsia="仿宋_GB2312" w:cs="仿宋_GB2312"/>
        </w:rPr>
      </w:pPr>
    </w:p>
    <w:p w14:paraId="33F87734">
      <w:pPr>
        <w:rPr>
          <w:rFonts w:hint="eastAsia" w:ascii="仿宋_GB2312" w:hAnsi="仿宋_GB2312" w:eastAsia="仿宋_GB2312" w:cs="仿宋_GB2312"/>
        </w:rPr>
      </w:pPr>
      <w:r>
        <w:rPr>
          <w:rFonts w:hint="eastAsia" w:ascii="仿宋_GB2312" w:hAnsi="仿宋_GB2312" w:eastAsia="仿宋_GB2312" w:cs="仿宋_GB2312"/>
          <w:i w:val="0"/>
          <w:caps w:val="0"/>
          <w:color w:val="000000"/>
          <w:spacing w:val="0"/>
          <w:sz w:val="22"/>
          <w:szCs w:val="22"/>
          <w:shd w:val="clear" w:fill="FFFFFF"/>
        </w:rPr>
        <w:t>相关单位或者个人转载或引用药品监管部门公布的信息时，应当遵守《中华人民共和国药品管理法》等法律法规的要求，对有关药品的宣传报道应当全面、科学、客观、公正，否则将依法承担相应责任。如对信息作进一步解读，应作必要的核实。</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zMTk3M2E0N2IwY2E5ZmFhNjBiNjJjOGMzYmY2NjEifQ=="/>
  </w:docVars>
  <w:rsids>
    <w:rsidRoot w:val="0AFC60A5"/>
    <w:rsid w:val="003F173A"/>
    <w:rsid w:val="009E39C7"/>
    <w:rsid w:val="00D93752"/>
    <w:rsid w:val="00EC6659"/>
    <w:rsid w:val="013621DE"/>
    <w:rsid w:val="015D724D"/>
    <w:rsid w:val="018819EB"/>
    <w:rsid w:val="02206F22"/>
    <w:rsid w:val="024F2401"/>
    <w:rsid w:val="026145CD"/>
    <w:rsid w:val="02DC41F3"/>
    <w:rsid w:val="039A75B8"/>
    <w:rsid w:val="044322F7"/>
    <w:rsid w:val="04720006"/>
    <w:rsid w:val="048F37AA"/>
    <w:rsid w:val="04E050C3"/>
    <w:rsid w:val="05B76F67"/>
    <w:rsid w:val="05E927E7"/>
    <w:rsid w:val="06CE10DF"/>
    <w:rsid w:val="06DD5A87"/>
    <w:rsid w:val="06DF09E6"/>
    <w:rsid w:val="071D143D"/>
    <w:rsid w:val="072C0BCD"/>
    <w:rsid w:val="07917978"/>
    <w:rsid w:val="07934CB0"/>
    <w:rsid w:val="08A451D8"/>
    <w:rsid w:val="091D0EB6"/>
    <w:rsid w:val="0A8263CF"/>
    <w:rsid w:val="0AF353F0"/>
    <w:rsid w:val="0AFC60A5"/>
    <w:rsid w:val="0B32336E"/>
    <w:rsid w:val="0BBD46A7"/>
    <w:rsid w:val="0BD27166"/>
    <w:rsid w:val="0C616F42"/>
    <w:rsid w:val="0C7D1938"/>
    <w:rsid w:val="0CF777D7"/>
    <w:rsid w:val="0D016698"/>
    <w:rsid w:val="0D496004"/>
    <w:rsid w:val="0D9B5DDE"/>
    <w:rsid w:val="0D9D6771"/>
    <w:rsid w:val="0DFB1089"/>
    <w:rsid w:val="0E490328"/>
    <w:rsid w:val="0E5D3919"/>
    <w:rsid w:val="0F312F23"/>
    <w:rsid w:val="0F483127"/>
    <w:rsid w:val="0F636137"/>
    <w:rsid w:val="12164B1C"/>
    <w:rsid w:val="12CC6E93"/>
    <w:rsid w:val="132F1E02"/>
    <w:rsid w:val="134F7688"/>
    <w:rsid w:val="13C62711"/>
    <w:rsid w:val="156C03C6"/>
    <w:rsid w:val="1575788D"/>
    <w:rsid w:val="15956002"/>
    <w:rsid w:val="16A67ADA"/>
    <w:rsid w:val="175002B3"/>
    <w:rsid w:val="17780848"/>
    <w:rsid w:val="17ED0162"/>
    <w:rsid w:val="18042591"/>
    <w:rsid w:val="18BE0642"/>
    <w:rsid w:val="1AEA7179"/>
    <w:rsid w:val="1AFE5EAD"/>
    <w:rsid w:val="1C3D1C7A"/>
    <w:rsid w:val="1C5025C3"/>
    <w:rsid w:val="1C925246"/>
    <w:rsid w:val="1CAE2EE5"/>
    <w:rsid w:val="1CC47C11"/>
    <w:rsid w:val="1D3B5DDE"/>
    <w:rsid w:val="1DAF4892"/>
    <w:rsid w:val="1DC70616"/>
    <w:rsid w:val="1DC96DD1"/>
    <w:rsid w:val="1E487342"/>
    <w:rsid w:val="1E6C4095"/>
    <w:rsid w:val="1E8E1796"/>
    <w:rsid w:val="1EE4637F"/>
    <w:rsid w:val="200D099C"/>
    <w:rsid w:val="2072136A"/>
    <w:rsid w:val="20B00327"/>
    <w:rsid w:val="20D42391"/>
    <w:rsid w:val="20EE49CE"/>
    <w:rsid w:val="20F25647"/>
    <w:rsid w:val="226D11F5"/>
    <w:rsid w:val="22A83813"/>
    <w:rsid w:val="22DA46C6"/>
    <w:rsid w:val="22F41E44"/>
    <w:rsid w:val="23215CC3"/>
    <w:rsid w:val="23257EF1"/>
    <w:rsid w:val="23484CF1"/>
    <w:rsid w:val="23D423B4"/>
    <w:rsid w:val="2569115D"/>
    <w:rsid w:val="26AA4921"/>
    <w:rsid w:val="26B71264"/>
    <w:rsid w:val="26DF29AC"/>
    <w:rsid w:val="27A11DC7"/>
    <w:rsid w:val="27B3517A"/>
    <w:rsid w:val="28516479"/>
    <w:rsid w:val="28F3492D"/>
    <w:rsid w:val="2A1721F2"/>
    <w:rsid w:val="2AAA4F58"/>
    <w:rsid w:val="2C9337B1"/>
    <w:rsid w:val="2CA16103"/>
    <w:rsid w:val="2CAB63EF"/>
    <w:rsid w:val="2D7123B7"/>
    <w:rsid w:val="2D9E7301"/>
    <w:rsid w:val="2DE649A3"/>
    <w:rsid w:val="2E5B16E1"/>
    <w:rsid w:val="2ECF18AA"/>
    <w:rsid w:val="2EEB283A"/>
    <w:rsid w:val="2F383184"/>
    <w:rsid w:val="2F57175D"/>
    <w:rsid w:val="2F8548F3"/>
    <w:rsid w:val="30351958"/>
    <w:rsid w:val="30CF358A"/>
    <w:rsid w:val="30F02C2A"/>
    <w:rsid w:val="316A4F8D"/>
    <w:rsid w:val="32291B02"/>
    <w:rsid w:val="327970BC"/>
    <w:rsid w:val="329F0C04"/>
    <w:rsid w:val="32EF5248"/>
    <w:rsid w:val="33A12315"/>
    <w:rsid w:val="347C71D5"/>
    <w:rsid w:val="34975B1E"/>
    <w:rsid w:val="34A75DA4"/>
    <w:rsid w:val="34CC59A7"/>
    <w:rsid w:val="35283A77"/>
    <w:rsid w:val="35732EAB"/>
    <w:rsid w:val="35A4152E"/>
    <w:rsid w:val="35E525D1"/>
    <w:rsid w:val="3608161B"/>
    <w:rsid w:val="3689596D"/>
    <w:rsid w:val="3755151D"/>
    <w:rsid w:val="38827880"/>
    <w:rsid w:val="388E5FDA"/>
    <w:rsid w:val="39323756"/>
    <w:rsid w:val="39715F2D"/>
    <w:rsid w:val="39F74572"/>
    <w:rsid w:val="3A8E2E37"/>
    <w:rsid w:val="3B5F47C3"/>
    <w:rsid w:val="3D0D111B"/>
    <w:rsid w:val="3D136770"/>
    <w:rsid w:val="3DC15EDC"/>
    <w:rsid w:val="3DDC2EDA"/>
    <w:rsid w:val="3E39262D"/>
    <w:rsid w:val="3E4A5F63"/>
    <w:rsid w:val="3E63711E"/>
    <w:rsid w:val="3F4B3DBC"/>
    <w:rsid w:val="3FA63E62"/>
    <w:rsid w:val="400613B4"/>
    <w:rsid w:val="404323A5"/>
    <w:rsid w:val="408D71D7"/>
    <w:rsid w:val="40F9550B"/>
    <w:rsid w:val="41452E4C"/>
    <w:rsid w:val="426C1B97"/>
    <w:rsid w:val="42743BCB"/>
    <w:rsid w:val="429373A2"/>
    <w:rsid w:val="4344143E"/>
    <w:rsid w:val="43854217"/>
    <w:rsid w:val="438C3243"/>
    <w:rsid w:val="44F32001"/>
    <w:rsid w:val="45253CF6"/>
    <w:rsid w:val="45646B1F"/>
    <w:rsid w:val="457E7C8F"/>
    <w:rsid w:val="45CC173C"/>
    <w:rsid w:val="46AE1F18"/>
    <w:rsid w:val="46C71020"/>
    <w:rsid w:val="47177CA0"/>
    <w:rsid w:val="474F196C"/>
    <w:rsid w:val="481B363B"/>
    <w:rsid w:val="496D4EDD"/>
    <w:rsid w:val="49DD1DC9"/>
    <w:rsid w:val="4ABC573E"/>
    <w:rsid w:val="4B227261"/>
    <w:rsid w:val="4B6E6C91"/>
    <w:rsid w:val="4BD87CAD"/>
    <w:rsid w:val="4CB227C6"/>
    <w:rsid w:val="4D494A31"/>
    <w:rsid w:val="4D4E6522"/>
    <w:rsid w:val="4DB52204"/>
    <w:rsid w:val="4DBF5525"/>
    <w:rsid w:val="4E4D4D9C"/>
    <w:rsid w:val="4EBF4B5E"/>
    <w:rsid w:val="4F6760DC"/>
    <w:rsid w:val="511C6458"/>
    <w:rsid w:val="51295856"/>
    <w:rsid w:val="521F1AAF"/>
    <w:rsid w:val="52650555"/>
    <w:rsid w:val="529B204D"/>
    <w:rsid w:val="52C16F51"/>
    <w:rsid w:val="53572647"/>
    <w:rsid w:val="537E31B3"/>
    <w:rsid w:val="53CE2445"/>
    <w:rsid w:val="55455002"/>
    <w:rsid w:val="55DB0C7B"/>
    <w:rsid w:val="570D79CA"/>
    <w:rsid w:val="57121CF7"/>
    <w:rsid w:val="58CB7D44"/>
    <w:rsid w:val="58F30A28"/>
    <w:rsid w:val="58FB0EC8"/>
    <w:rsid w:val="5B420A05"/>
    <w:rsid w:val="5B9A5FEA"/>
    <w:rsid w:val="5BBA29DD"/>
    <w:rsid w:val="5BEA75B7"/>
    <w:rsid w:val="5C1044D8"/>
    <w:rsid w:val="5C90049F"/>
    <w:rsid w:val="5CD52BD8"/>
    <w:rsid w:val="5CDC01B4"/>
    <w:rsid w:val="5D350E4B"/>
    <w:rsid w:val="5EA51DF7"/>
    <w:rsid w:val="5EEC238A"/>
    <w:rsid w:val="5F277E5F"/>
    <w:rsid w:val="600B75EF"/>
    <w:rsid w:val="613B606A"/>
    <w:rsid w:val="62C31765"/>
    <w:rsid w:val="62E71FB6"/>
    <w:rsid w:val="635C6039"/>
    <w:rsid w:val="640A5255"/>
    <w:rsid w:val="640A5983"/>
    <w:rsid w:val="64145F3B"/>
    <w:rsid w:val="647F73C1"/>
    <w:rsid w:val="64DF3162"/>
    <w:rsid w:val="651779D1"/>
    <w:rsid w:val="6544535C"/>
    <w:rsid w:val="65637F91"/>
    <w:rsid w:val="65687003"/>
    <w:rsid w:val="6585448E"/>
    <w:rsid w:val="65BD6C42"/>
    <w:rsid w:val="66024A22"/>
    <w:rsid w:val="668415F3"/>
    <w:rsid w:val="66F45538"/>
    <w:rsid w:val="672D2D56"/>
    <w:rsid w:val="677522DA"/>
    <w:rsid w:val="6A1A7C2A"/>
    <w:rsid w:val="6A9923F2"/>
    <w:rsid w:val="6A9954DA"/>
    <w:rsid w:val="6AC631DB"/>
    <w:rsid w:val="6CB41594"/>
    <w:rsid w:val="6CB92447"/>
    <w:rsid w:val="6D356589"/>
    <w:rsid w:val="6DA32868"/>
    <w:rsid w:val="6DD25D21"/>
    <w:rsid w:val="6ECF425C"/>
    <w:rsid w:val="6ED574D6"/>
    <w:rsid w:val="6F9E5A29"/>
    <w:rsid w:val="6FA521EE"/>
    <w:rsid w:val="70205220"/>
    <w:rsid w:val="708E50BE"/>
    <w:rsid w:val="70AE03C2"/>
    <w:rsid w:val="70E44B48"/>
    <w:rsid w:val="719268CD"/>
    <w:rsid w:val="726D1782"/>
    <w:rsid w:val="72BE667F"/>
    <w:rsid w:val="73097736"/>
    <w:rsid w:val="74443F76"/>
    <w:rsid w:val="74C675FD"/>
    <w:rsid w:val="763450D7"/>
    <w:rsid w:val="77E33F1F"/>
    <w:rsid w:val="78844998"/>
    <w:rsid w:val="78CF6F68"/>
    <w:rsid w:val="79462DC4"/>
    <w:rsid w:val="79904D8C"/>
    <w:rsid w:val="7A6300D6"/>
    <w:rsid w:val="7AC34CDF"/>
    <w:rsid w:val="7AE509B7"/>
    <w:rsid w:val="7BA83DBE"/>
    <w:rsid w:val="7BF666EA"/>
    <w:rsid w:val="7E227595"/>
    <w:rsid w:val="7E5425C2"/>
    <w:rsid w:val="7E805359"/>
    <w:rsid w:val="7EA16C77"/>
    <w:rsid w:val="7FE03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unhideWhenUsed/>
    <w:qFormat/>
    <w:uiPriority w:val="1"/>
  </w:style>
  <w:style w:type="table" w:default="1" w:styleId="3">
    <w:name w:val="Normal Table"/>
    <w:autoRedefine/>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ind w:left="220"/>
    </w:pPr>
    <w:rPr>
      <w:rFonts w:ascii="宋体" w:hAnsi="宋体"/>
      <w:sz w:val="32"/>
      <w:szCs w:val="32"/>
    </w:rPr>
  </w:style>
  <w:style w:type="table" w:styleId="4">
    <w:name w:val="Table Grid"/>
    <w:basedOn w:val="3"/>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文本1"/>
    <w:basedOn w:val="1"/>
    <w:autoRedefine/>
    <w:qFormat/>
    <w:uiPriority w:val="0"/>
    <w:pPr>
      <w:ind w:left="122"/>
    </w:pPr>
    <w:rPr>
      <w:rFonts w:ascii="宋体" w:hAnsi="宋体"/>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889</Words>
  <Characters>975</Characters>
  <Lines>1</Lines>
  <Paragraphs>1</Paragraphs>
  <TotalTime>2</TotalTime>
  <ScaleCrop>false</ScaleCrop>
  <LinksUpToDate>false</LinksUpToDate>
  <CharactersWithSpaces>975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2019-11-04T06:53:00Z</dcterms:created>
  <dc:creator>林振顺</dc:creator>
  <cp:lastModifiedBy>王雪纯</cp:lastModifiedBy>
  <cp:lastPrinted>2022-10-24T06:36:00Z</cp:lastPrinted>
  <dcterms:modified xsi:type="dcterms:W3CDTF">2024-11-25T07:11:00Z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A5E0630F65234BE5BAF38C06B1AA4AE6_13</vt:lpwstr>
  </property>
</Properties>
</file>