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keepNext w:val="0"/>
        <w:keepLines w:val="0"/>
        <w:pageBreakBefore w:val="0"/>
        <w:widowControl w:val="0"/>
        <w:tabs>
          <w:tab w:val="left" w:pos="8964"/>
        </w:tabs>
        <w:kinsoku/>
        <w:wordWrap w:val="0"/>
        <w:overflowPunct/>
        <w:topLinePunct w:val="0"/>
        <w:autoSpaceDE/>
        <w:autoSpaceDN/>
        <w:bidi w:val="0"/>
        <w:spacing w:line="560" w:lineRule="exact"/>
        <w:jc w:val="both"/>
        <w:textAlignment w:val="auto"/>
        <w:rPr>
          <w:rFonts w:hint="eastAsia" w:ascii="方正小标宋简体" w:hAnsi="方正小标宋简体" w:eastAsia="方正小标宋简体" w:cs="方正小标宋简体"/>
          <w:color w:val="auto"/>
          <w:sz w:val="44"/>
          <w:szCs w:val="44"/>
          <w:lang w:eastAsia="zh-CN"/>
        </w:rPr>
      </w:pPr>
    </w:p>
    <w:p>
      <w:pPr>
        <w:pStyle w:val="5"/>
        <w:keepNext w:val="0"/>
        <w:keepLines w:val="0"/>
        <w:pageBreakBefore w:val="0"/>
        <w:widowControl w:val="0"/>
        <w:tabs>
          <w:tab w:val="left" w:pos="8964"/>
        </w:tabs>
        <w:kinsoku/>
        <w:wordWrap w:val="0"/>
        <w:overflowPunct/>
        <w:topLinePunct w:val="0"/>
        <w:autoSpaceDE/>
        <w:autoSpaceDN/>
        <w:bidi w:val="0"/>
        <w:spacing w:line="560" w:lineRule="exact"/>
        <w:ind w:left="0" w:leftChars="0" w:firstLine="0" w:firstLineChars="0"/>
        <w:jc w:val="center"/>
        <w:textAlignment w:val="auto"/>
        <w:rPr>
          <w:rFonts w:ascii="方正小标宋简体" w:hAnsi="方正小标宋简体" w:eastAsia="方正小标宋简体" w:cs="方正小标宋简体"/>
          <w:color w:val="auto"/>
          <w:sz w:val="44"/>
          <w:szCs w:val="44"/>
          <w:lang w:eastAsia="zh-CN"/>
        </w:rPr>
      </w:pPr>
      <w:r>
        <w:rPr>
          <w:rFonts w:hint="eastAsia" w:ascii="方正小标宋简体" w:hAnsi="方正小标宋简体" w:eastAsia="方正小标宋简体" w:cs="方正小标宋简体"/>
          <w:color w:val="auto"/>
          <w:sz w:val="44"/>
          <w:szCs w:val="44"/>
          <w:lang w:eastAsia="zh-CN"/>
        </w:rPr>
        <w:t>福建省药品监督管理局行政处罚决定书</w:t>
      </w:r>
    </w:p>
    <w:p>
      <w:pPr>
        <w:pStyle w:val="5"/>
        <w:keepNext w:val="0"/>
        <w:keepLines w:val="0"/>
        <w:pageBreakBefore w:val="0"/>
        <w:widowControl w:val="0"/>
        <w:tabs>
          <w:tab w:val="left" w:pos="8964"/>
        </w:tabs>
        <w:kinsoku/>
        <w:wordWrap/>
        <w:overflowPunct/>
        <w:topLinePunct w:val="0"/>
        <w:autoSpaceDE/>
        <w:autoSpaceDN/>
        <w:bidi w:val="0"/>
        <w:spacing w:line="560" w:lineRule="exact"/>
        <w:ind w:left="0" w:firstLine="640" w:firstLineChars="200"/>
        <w:jc w:val="both"/>
        <w:textAlignment w:val="auto"/>
        <w:rPr>
          <w:rFonts w:hint="eastAsia" w:ascii="仿宋" w:hAnsi="仿宋" w:eastAsia="仿宋" w:cs="仿宋"/>
          <w:color w:val="auto"/>
          <w:kern w:val="2"/>
          <w:sz w:val="32"/>
          <w:szCs w:val="32"/>
          <w:u w:val="none" w:color="auto"/>
          <w:lang w:val="en-US" w:eastAsia="zh-CN" w:bidi="ar-SA"/>
        </w:rPr>
      </w:pPr>
      <w:r>
        <w:rPr>
          <w:rFonts w:hint="eastAsia" w:ascii="仿宋" w:hAnsi="仿宋" w:eastAsia="仿宋" w:cs="仿宋"/>
          <w:color w:val="auto"/>
          <w:lang w:eastAsia="zh-CN"/>
        </w:rPr>
        <w:t xml:space="preserve"> </w:t>
      </w:r>
      <w:r>
        <w:rPr>
          <w:rFonts w:ascii="仿宋" w:hAnsi="仿宋" w:eastAsia="仿宋" w:cs="仿宋"/>
          <w:color w:val="auto"/>
          <w:lang w:eastAsia="zh-CN"/>
        </w:rPr>
        <w:t xml:space="preserve">                   </w:t>
      </w:r>
      <w:r>
        <w:rPr>
          <w:rFonts w:hint="eastAsia" w:ascii="楷体" w:hAnsi="楷体" w:eastAsia="楷体" w:cs="楷体"/>
          <w:color w:val="auto"/>
          <w:lang w:eastAsia="zh-CN"/>
        </w:rPr>
        <w:t xml:space="preserve">  </w:t>
      </w:r>
      <w:r>
        <w:rPr>
          <w:rFonts w:hint="eastAsia" w:ascii="CESI仿宋-GB2312" w:hAnsi="CESI仿宋-GB2312" w:eastAsia="CESI仿宋-GB2312" w:cs="CESI仿宋-GB2312"/>
          <w:color w:val="auto"/>
          <w:lang w:eastAsia="zh-CN"/>
        </w:rPr>
        <w:t xml:space="preserve"> </w:t>
      </w:r>
      <w:r>
        <w:rPr>
          <w:rFonts w:hint="eastAsia" w:ascii="仿宋" w:hAnsi="仿宋" w:eastAsia="仿宋" w:cs="仿宋"/>
          <w:color w:val="auto"/>
          <w:kern w:val="2"/>
          <w:sz w:val="32"/>
          <w:szCs w:val="32"/>
          <w:u w:val="none" w:color="auto"/>
          <w:lang w:val="en-US" w:eastAsia="zh-CN" w:bidi="ar-SA"/>
        </w:rPr>
        <w:t>闽药监厦稽办〔2024〕3-02号</w:t>
      </w:r>
    </w:p>
    <w:p>
      <w:pPr>
        <w:pStyle w:val="5"/>
        <w:keepNext w:val="0"/>
        <w:keepLines w:val="0"/>
        <w:pageBreakBefore w:val="0"/>
        <w:widowControl w:val="0"/>
        <w:tabs>
          <w:tab w:val="left" w:pos="8964"/>
        </w:tabs>
        <w:kinsoku/>
        <w:wordWrap w:val="0"/>
        <w:overflowPunct/>
        <w:topLinePunct w:val="0"/>
        <w:autoSpaceDE/>
        <w:autoSpaceDN/>
        <w:bidi w:val="0"/>
        <w:spacing w:line="560" w:lineRule="exact"/>
        <w:ind w:left="0" w:firstLine="640" w:firstLineChars="200"/>
        <w:jc w:val="both"/>
        <w:textAlignment w:val="auto"/>
        <w:rPr>
          <w:rFonts w:hint="eastAsia" w:ascii="楷体" w:hAnsi="楷体" w:eastAsia="楷体" w:cs="楷体"/>
          <w:i w:val="0"/>
          <w:iCs w:val="0"/>
          <w:color w:val="auto"/>
          <w:kern w:val="0"/>
          <w:sz w:val="32"/>
          <w:szCs w:val="32"/>
          <w:u w:val="none"/>
          <w:lang w:val="en-US" w:eastAsia="zh-CN" w:bidi="ar"/>
        </w:rPr>
      </w:pPr>
    </w:p>
    <w:p>
      <w:pPr>
        <w:keepNext w:val="0"/>
        <w:keepLines w:val="0"/>
        <w:pageBreakBefore w:val="0"/>
        <w:widowControl w:val="0"/>
        <w:kinsoku/>
        <w:wordWrap w:val="0"/>
        <w:overflowPunct/>
        <w:topLinePunct w:val="0"/>
        <w:autoSpaceDE/>
        <w:autoSpaceDN/>
        <w:bidi w:val="0"/>
        <w:adjustRightInd w:val="0"/>
        <w:snapToGrid w:val="0"/>
        <w:spacing w:line="560" w:lineRule="exact"/>
        <w:jc w:val="both"/>
        <w:textAlignment w:val="auto"/>
        <w:rPr>
          <w:rFonts w:hint="eastAsia" w:ascii="CESI仿宋-GB2312" w:hAnsi="CESI仿宋-GB2312" w:eastAsia="CESI仿宋-GB2312" w:cs="CESI仿宋-GB2312"/>
          <w:color w:val="auto"/>
          <w:sz w:val="32"/>
          <w:szCs w:val="32"/>
          <w:lang w:eastAsia="zh-CN"/>
        </w:rPr>
      </w:pPr>
    </w:p>
    <w:p>
      <w:pPr>
        <w:keepNext w:val="0"/>
        <w:keepLines w:val="0"/>
        <w:pageBreakBefore w:val="0"/>
        <w:widowControl w:val="0"/>
        <w:kinsoku/>
        <w:wordWrap w:val="0"/>
        <w:overflowPunct/>
        <w:topLinePunct w:val="0"/>
        <w:autoSpaceDE/>
        <w:autoSpaceDN/>
        <w:bidi w:val="0"/>
        <w:adjustRightInd w:val="0"/>
        <w:snapToGrid w:val="0"/>
        <w:spacing w:line="560" w:lineRule="exact"/>
        <w:jc w:val="both"/>
        <w:textAlignment w:val="auto"/>
        <w:rPr>
          <w:rFonts w:hint="eastAsia" w:ascii="仿宋_GB2312" w:hAnsi="仿宋_GB2312" w:eastAsia="仿宋_GB2312" w:cs="仿宋_GB2312"/>
          <w:color w:val="auto"/>
          <w:sz w:val="32"/>
          <w:szCs w:val="32"/>
          <w:lang w:val="en-US" w:eastAsia="zh-CN" w:bidi="ar-SA"/>
        </w:rPr>
      </w:pPr>
      <w:r>
        <w:rPr>
          <w:rFonts w:hint="eastAsia" w:ascii="CESI仿宋-GB2312" w:hAnsi="CESI仿宋-GB2312" w:eastAsia="CESI仿宋-GB2312" w:cs="CESI仿宋-GB2312"/>
          <w:color w:val="auto"/>
          <w:sz w:val="32"/>
          <w:szCs w:val="32"/>
          <w:lang w:eastAsia="zh-CN"/>
        </w:rPr>
        <w:t>当事人：</w:t>
      </w:r>
      <w:r>
        <w:rPr>
          <w:rFonts w:hint="eastAsia" w:ascii="仿宋_GB2312" w:hAnsi="仿宋_GB2312" w:eastAsia="仿宋_GB2312" w:cs="仿宋_GB2312"/>
          <w:color w:val="auto"/>
          <w:sz w:val="32"/>
          <w:szCs w:val="32"/>
          <w:lang w:val="en-US" w:eastAsia="zh-CN" w:bidi="ar-SA"/>
        </w:rPr>
        <w:t>丹祚（厦门）工贸有限公司</w:t>
      </w:r>
    </w:p>
    <w:p>
      <w:pPr>
        <w:keepNext w:val="0"/>
        <w:keepLines w:val="0"/>
        <w:pageBreakBefore w:val="0"/>
        <w:widowControl w:val="0"/>
        <w:kinsoku/>
        <w:wordWrap w:val="0"/>
        <w:overflowPunct/>
        <w:topLinePunct w:val="0"/>
        <w:autoSpaceDE/>
        <w:autoSpaceDN/>
        <w:bidi w:val="0"/>
        <w:adjustRightInd w:val="0"/>
        <w:snapToGrid w:val="0"/>
        <w:spacing w:line="560" w:lineRule="exact"/>
        <w:jc w:val="both"/>
        <w:textAlignment w:val="auto"/>
        <w:rPr>
          <w:rFonts w:hint="eastAsia" w:ascii="CESI仿宋-GB2312" w:hAnsi="CESI仿宋-GB2312" w:eastAsia="CESI仿宋-GB2312" w:cs="CESI仿宋-GB2312"/>
          <w:color w:val="auto"/>
          <w:sz w:val="32"/>
          <w:szCs w:val="32"/>
          <w:u w:val="single"/>
          <w:lang w:eastAsia="zh-CN"/>
        </w:rPr>
      </w:pPr>
      <w:r>
        <w:rPr>
          <w:rFonts w:hint="eastAsia" w:ascii="CESI仿宋-GB2312" w:hAnsi="CESI仿宋-GB2312" w:eastAsia="CESI仿宋-GB2312" w:cs="CESI仿宋-GB2312"/>
          <w:color w:val="auto"/>
          <w:sz w:val="32"/>
          <w:szCs w:val="32"/>
          <w:lang w:eastAsia="zh-CN"/>
        </w:rPr>
        <w:t>主体资格证照名称：营业执照</w:t>
      </w:r>
    </w:p>
    <w:p>
      <w:pPr>
        <w:keepNext w:val="0"/>
        <w:keepLines w:val="0"/>
        <w:pageBreakBefore w:val="0"/>
        <w:widowControl w:val="0"/>
        <w:kinsoku/>
        <w:wordWrap w:val="0"/>
        <w:overflowPunct/>
        <w:topLinePunct w:val="0"/>
        <w:autoSpaceDE/>
        <w:autoSpaceDN/>
        <w:bidi w:val="0"/>
        <w:adjustRightInd w:val="0"/>
        <w:snapToGrid w:val="0"/>
        <w:spacing w:line="560" w:lineRule="exact"/>
        <w:jc w:val="both"/>
        <w:textAlignment w:val="auto"/>
        <w:rPr>
          <w:rFonts w:hint="eastAsia" w:ascii="仿宋_GB2312" w:hAnsi="仿宋_GB2312" w:eastAsia="仿宋_GB2312" w:cs="仿宋_GB2312"/>
          <w:color w:val="auto"/>
          <w:kern w:val="1"/>
          <w:sz w:val="32"/>
          <w:szCs w:val="32"/>
          <w:lang w:val="en-US" w:eastAsia="zh-CN"/>
        </w:rPr>
      </w:pPr>
      <w:r>
        <w:rPr>
          <w:rFonts w:hint="eastAsia" w:ascii="CESI仿宋-GB2312" w:hAnsi="CESI仿宋-GB2312" w:eastAsia="CESI仿宋-GB2312" w:cs="CESI仿宋-GB2312"/>
          <w:color w:val="auto"/>
          <w:sz w:val="32"/>
          <w:szCs w:val="32"/>
          <w:lang w:eastAsia="zh-CN"/>
        </w:rPr>
        <w:t>统一社会信用代码：</w:t>
      </w:r>
      <w:r>
        <w:rPr>
          <w:rFonts w:hint="eastAsia" w:ascii="仿宋_GB2312" w:hAnsi="仿宋_GB2312" w:eastAsia="仿宋_GB2312" w:cs="仿宋_GB2312"/>
          <w:color w:val="auto"/>
          <w:kern w:val="1"/>
          <w:sz w:val="32"/>
          <w:szCs w:val="32"/>
          <w:lang w:val="en-US" w:eastAsia="zh-CN"/>
        </w:rPr>
        <w:t>91350212MA32XKEWXX</w:t>
      </w:r>
    </w:p>
    <w:p>
      <w:pPr>
        <w:keepNext w:val="0"/>
        <w:keepLines w:val="0"/>
        <w:pageBreakBefore w:val="0"/>
        <w:widowControl w:val="0"/>
        <w:kinsoku/>
        <w:wordWrap w:val="0"/>
        <w:overflowPunct/>
        <w:topLinePunct w:val="0"/>
        <w:autoSpaceDE/>
        <w:autoSpaceDN/>
        <w:bidi w:val="0"/>
        <w:adjustRightInd w:val="0"/>
        <w:snapToGrid w:val="0"/>
        <w:spacing w:line="560" w:lineRule="exact"/>
        <w:jc w:val="both"/>
        <w:textAlignment w:val="auto"/>
        <w:rPr>
          <w:rFonts w:hint="default" w:ascii="仿宋" w:hAnsi="仿宋" w:eastAsia="仿宋" w:cs="仿宋"/>
          <w:color w:val="auto"/>
          <w:kern w:val="2"/>
          <w:sz w:val="32"/>
          <w:szCs w:val="32"/>
          <w:u w:val="none" w:color="auto"/>
          <w:lang w:val="en-US" w:eastAsia="zh-CN" w:bidi="ar-SA"/>
        </w:rPr>
      </w:pPr>
      <w:r>
        <w:rPr>
          <w:rFonts w:hint="eastAsia" w:ascii="CESI仿宋-GB2312" w:hAnsi="CESI仿宋-GB2312" w:eastAsia="CESI仿宋-GB2312" w:cs="CESI仿宋-GB2312"/>
          <w:color w:val="auto"/>
          <w:sz w:val="32"/>
          <w:szCs w:val="32"/>
          <w:lang w:eastAsia="zh-CN"/>
        </w:rPr>
        <w:t>住所：</w:t>
      </w:r>
      <w:r>
        <w:rPr>
          <w:rFonts w:hint="eastAsia" w:ascii="仿宋_GB2312" w:hAnsi="仿宋_GB2312" w:eastAsia="仿宋_GB2312" w:cs="仿宋_GB2312"/>
          <w:color w:val="auto"/>
          <w:sz w:val="32"/>
          <w:szCs w:val="32"/>
          <w:lang w:eastAsia="zh-CN"/>
        </w:rPr>
        <w:t>福建省厦门市同安区通福路</w:t>
      </w:r>
      <w:r>
        <w:rPr>
          <w:rFonts w:hint="eastAsia" w:ascii="仿宋_GB2312" w:hAnsi="仿宋_GB2312" w:eastAsia="仿宋_GB2312" w:cs="仿宋_GB2312"/>
          <w:color w:val="auto"/>
          <w:sz w:val="32"/>
          <w:szCs w:val="32"/>
          <w:lang w:val="en-US" w:eastAsia="zh-CN"/>
        </w:rPr>
        <w:t>588-1号6楼B2区</w:t>
      </w:r>
    </w:p>
    <w:p>
      <w:pPr>
        <w:keepNext w:val="0"/>
        <w:keepLines w:val="0"/>
        <w:pageBreakBefore w:val="0"/>
        <w:widowControl w:val="0"/>
        <w:kinsoku/>
        <w:wordWrap w:val="0"/>
        <w:overflowPunct/>
        <w:topLinePunct w:val="0"/>
        <w:autoSpaceDE/>
        <w:autoSpaceDN/>
        <w:bidi w:val="0"/>
        <w:adjustRightInd w:val="0"/>
        <w:snapToGrid w:val="0"/>
        <w:spacing w:line="560" w:lineRule="exact"/>
        <w:jc w:val="both"/>
        <w:textAlignment w:val="auto"/>
        <w:rPr>
          <w:rFonts w:hint="eastAsia" w:ascii="CESI仿宋-GB2312" w:hAnsi="CESI仿宋-GB2312" w:eastAsia="CESI仿宋-GB2312" w:cs="CESI仿宋-GB2312"/>
          <w:color w:val="auto"/>
          <w:sz w:val="32"/>
          <w:szCs w:val="32"/>
          <w:lang w:eastAsia="zh-CN"/>
        </w:rPr>
      </w:pPr>
      <w:r>
        <w:rPr>
          <w:rFonts w:hint="eastAsia" w:ascii="CESI仿宋-GB2312" w:hAnsi="CESI仿宋-GB2312" w:eastAsia="CESI仿宋-GB2312" w:cs="CESI仿宋-GB2312"/>
          <w:color w:val="auto"/>
          <w:sz w:val="32"/>
          <w:szCs w:val="32"/>
          <w:lang w:eastAsia="zh-CN"/>
        </w:rPr>
        <w:t>法定代表人：</w:t>
      </w:r>
      <w:r>
        <w:rPr>
          <w:rFonts w:hint="eastAsia" w:ascii="仿宋_GB2312" w:hAnsi="仿宋_GB2312" w:eastAsia="仿宋_GB2312" w:cs="仿宋_GB2312"/>
          <w:color w:val="auto"/>
          <w:sz w:val="32"/>
          <w:szCs w:val="32"/>
          <w:lang w:eastAsia="zh-CN"/>
        </w:rPr>
        <w:t>林</w:t>
      </w:r>
      <w:r>
        <w:rPr>
          <w:rFonts w:hint="eastAsia" w:ascii="仿宋_GB2312" w:hAnsi="仿宋_GB2312" w:eastAsia="仿宋_GB2312" w:cs="仿宋_GB2312"/>
          <w:color w:val="auto"/>
          <w:sz w:val="32"/>
          <w:szCs w:val="32"/>
          <w:lang w:val="en-US" w:eastAsia="zh-CN"/>
        </w:rPr>
        <w:t>XX</w:t>
      </w:r>
      <w:r>
        <w:rPr>
          <w:rFonts w:hint="eastAsia" w:ascii="CESI仿宋-GB2312" w:hAnsi="CESI仿宋-GB2312" w:eastAsia="CESI仿宋-GB2312" w:cs="CESI仿宋-GB2312"/>
          <w:color w:val="auto"/>
          <w:sz w:val="32"/>
          <w:szCs w:val="32"/>
          <w:lang w:eastAsia="zh-CN"/>
        </w:rPr>
        <w:t xml:space="preserve">  </w:t>
      </w:r>
    </w:p>
    <w:p>
      <w:pPr>
        <w:keepNext w:val="0"/>
        <w:keepLines w:val="0"/>
        <w:pageBreakBefore w:val="0"/>
        <w:widowControl w:val="0"/>
        <w:kinsoku/>
        <w:wordWrap w:val="0"/>
        <w:overflowPunct/>
        <w:topLinePunct w:val="0"/>
        <w:autoSpaceDE/>
        <w:autoSpaceDN/>
        <w:bidi w:val="0"/>
        <w:adjustRightInd w:val="0"/>
        <w:snapToGrid w:val="0"/>
        <w:spacing w:line="560" w:lineRule="exact"/>
        <w:jc w:val="both"/>
        <w:textAlignment w:val="auto"/>
        <w:rPr>
          <w:rFonts w:hint="default" w:ascii="仿宋" w:hAnsi="仿宋" w:eastAsia="仿宋" w:cs="仿宋"/>
          <w:color w:val="auto"/>
          <w:kern w:val="2"/>
          <w:sz w:val="32"/>
          <w:szCs w:val="32"/>
          <w:u w:val="none" w:color="auto"/>
          <w:lang w:val="en-US" w:eastAsia="zh-CN" w:bidi="ar-SA"/>
        </w:rPr>
      </w:pPr>
      <w:r>
        <w:rPr>
          <w:rFonts w:hint="eastAsia" w:ascii="CESI仿宋-GB2312" w:hAnsi="CESI仿宋-GB2312" w:eastAsia="CESI仿宋-GB2312" w:cs="CESI仿宋-GB2312"/>
          <w:color w:val="auto"/>
          <w:sz w:val="32"/>
          <w:szCs w:val="32"/>
          <w:lang w:eastAsia="zh-CN"/>
        </w:rPr>
        <w:t>身份证号码：</w:t>
      </w:r>
      <w:r>
        <w:rPr>
          <w:rFonts w:hint="eastAsia" w:ascii="仿宋" w:hAnsi="仿宋" w:eastAsia="仿宋" w:cs="仿宋"/>
          <w:sz w:val="32"/>
          <w:szCs w:val="32"/>
          <w:u w:val="none"/>
          <w:lang w:val="en-US" w:eastAsia="zh-CN"/>
        </w:rPr>
        <w:t>35XXXXXXXXXXXXXXXXXXXXX</w:t>
      </w:r>
    </w:p>
    <w:p>
      <w:pPr>
        <w:keepNext w:val="0"/>
        <w:keepLines w:val="0"/>
        <w:pageBreakBefore w:val="0"/>
        <w:widowControl w:val="0"/>
        <w:kinsoku/>
        <w:wordWrap w:val="0"/>
        <w:overflowPunct/>
        <w:topLinePunct w:val="0"/>
        <w:autoSpaceDE/>
        <w:autoSpaceDN/>
        <w:bidi w:val="0"/>
        <w:adjustRightInd w:val="0"/>
        <w:snapToGrid w:val="0"/>
        <w:spacing w:line="560" w:lineRule="exact"/>
        <w:jc w:val="both"/>
        <w:textAlignment w:val="auto"/>
        <w:rPr>
          <w:rFonts w:hint="eastAsia" w:ascii="CESI仿宋-GB2312" w:hAnsi="CESI仿宋-GB2312" w:eastAsia="CESI仿宋-GB2312" w:cs="CESI仿宋-GB2312"/>
          <w:color w:val="auto"/>
          <w:sz w:val="32"/>
          <w:szCs w:val="32"/>
          <w:lang w:eastAsia="zh-CN"/>
        </w:rPr>
      </w:pPr>
      <w:r>
        <w:rPr>
          <w:rFonts w:hint="eastAsia" w:ascii="CESI仿宋-GB2312" w:hAnsi="CESI仿宋-GB2312" w:eastAsia="CESI仿宋-GB2312" w:cs="CESI仿宋-GB2312"/>
          <w:color w:val="auto"/>
          <w:sz w:val="32"/>
          <w:szCs w:val="32"/>
          <w:lang w:eastAsia="zh-CN"/>
        </w:rPr>
        <w:t>联系电话：</w:t>
      </w:r>
      <w:r>
        <w:rPr>
          <w:rFonts w:hint="eastAsia" w:ascii="仿宋" w:hAnsi="仿宋" w:eastAsia="仿宋" w:cs="仿宋"/>
          <w:color w:val="auto"/>
          <w:kern w:val="2"/>
          <w:sz w:val="32"/>
          <w:szCs w:val="32"/>
          <w:u w:val="none" w:color="auto"/>
          <w:lang w:val="en-US" w:eastAsia="zh-CN" w:bidi="ar-SA"/>
        </w:rPr>
        <w:t xml:space="preserve">XXXXXXXXXXXXX  </w:t>
      </w:r>
      <w:r>
        <w:rPr>
          <w:rFonts w:hint="eastAsia" w:ascii="CESI仿宋-GB2312" w:hAnsi="CESI仿宋-GB2312" w:eastAsia="CESI仿宋-GB2312" w:cs="CESI仿宋-GB2312"/>
          <w:color w:val="auto"/>
          <w:sz w:val="32"/>
          <w:szCs w:val="32"/>
          <w:lang w:eastAsia="zh-CN"/>
        </w:rPr>
        <w:t xml:space="preserve">    </w:t>
      </w:r>
    </w:p>
    <w:p>
      <w:pPr>
        <w:keepNext w:val="0"/>
        <w:keepLines w:val="0"/>
        <w:pageBreakBefore w:val="0"/>
        <w:widowControl w:val="0"/>
        <w:kinsoku/>
        <w:wordWrap w:val="0"/>
        <w:overflowPunct/>
        <w:topLinePunct w:val="0"/>
        <w:autoSpaceDE/>
        <w:autoSpaceDN/>
        <w:bidi w:val="0"/>
        <w:adjustRightInd w:val="0"/>
        <w:snapToGrid w:val="0"/>
        <w:spacing w:line="560" w:lineRule="exact"/>
        <w:jc w:val="both"/>
        <w:textAlignment w:val="auto"/>
        <w:rPr>
          <w:rFonts w:hint="eastAsia" w:ascii="仿宋" w:hAnsi="仿宋" w:eastAsia="仿宋" w:cs="仿宋"/>
          <w:color w:val="auto"/>
          <w:kern w:val="2"/>
          <w:sz w:val="32"/>
          <w:szCs w:val="32"/>
          <w:u w:val="none" w:color="auto"/>
          <w:lang w:val="en-US" w:eastAsia="zh-CN" w:bidi="ar-SA"/>
        </w:rPr>
      </w:pPr>
      <w:r>
        <w:rPr>
          <w:rFonts w:hint="eastAsia" w:ascii="CESI仿宋-GB2312" w:hAnsi="CESI仿宋-GB2312" w:eastAsia="CESI仿宋-GB2312" w:cs="CESI仿宋-GB2312"/>
          <w:color w:val="auto"/>
          <w:sz w:val="32"/>
          <w:szCs w:val="32"/>
          <w:lang w:eastAsia="zh-CN"/>
        </w:rPr>
        <w:t>联系地址：</w:t>
      </w:r>
      <w:r>
        <w:rPr>
          <w:rFonts w:hint="eastAsia" w:ascii="仿宋_GB2312" w:hAnsi="仿宋_GB2312" w:eastAsia="仿宋_GB2312" w:cs="仿宋_GB2312"/>
          <w:color w:val="auto"/>
          <w:sz w:val="32"/>
          <w:szCs w:val="32"/>
          <w:lang w:eastAsia="zh-CN"/>
        </w:rPr>
        <w:t>福建省厦门市同安区通福路</w:t>
      </w:r>
      <w:r>
        <w:rPr>
          <w:rFonts w:hint="eastAsia" w:ascii="仿宋_GB2312" w:hAnsi="仿宋_GB2312" w:eastAsia="仿宋_GB2312" w:cs="仿宋_GB2312"/>
          <w:color w:val="auto"/>
          <w:sz w:val="32"/>
          <w:szCs w:val="32"/>
          <w:lang w:val="en-US" w:eastAsia="zh-CN"/>
        </w:rPr>
        <w:t>588-1号6楼B2区</w:t>
      </w:r>
    </w:p>
    <w:p>
      <w:pPr>
        <w:pStyle w:val="5"/>
        <w:keepNext w:val="0"/>
        <w:keepLines w:val="0"/>
        <w:pageBreakBefore w:val="0"/>
        <w:widowControl w:val="0"/>
        <w:tabs>
          <w:tab w:val="left" w:pos="8964"/>
        </w:tabs>
        <w:kinsoku/>
        <w:wordWrap w:val="0"/>
        <w:overflowPunct/>
        <w:topLinePunct w:val="0"/>
        <w:autoSpaceDE/>
        <w:autoSpaceDN/>
        <w:bidi w:val="0"/>
        <w:spacing w:line="560" w:lineRule="exact"/>
        <w:ind w:left="0" w:firstLine="640" w:firstLineChars="200"/>
        <w:jc w:val="both"/>
        <w:textAlignment w:val="auto"/>
        <w:rPr>
          <w:rFonts w:hint="eastAsia" w:ascii="仿宋" w:hAnsi="仿宋" w:eastAsia="仿宋" w:cs="仿宋"/>
          <w:color w:val="auto"/>
          <w:kern w:val="2"/>
          <w:sz w:val="32"/>
          <w:szCs w:val="32"/>
          <w:u w:val="none" w:color="auto"/>
          <w:lang w:val="en-US" w:eastAsia="zh-CN" w:bidi="ar-SA"/>
        </w:rPr>
      </w:pPr>
      <w:r>
        <w:rPr>
          <w:rFonts w:hint="eastAsia" w:ascii="仿宋" w:hAnsi="仿宋" w:eastAsia="仿宋" w:cs="仿宋"/>
          <w:color w:val="auto"/>
          <w:kern w:val="2"/>
          <w:sz w:val="32"/>
          <w:szCs w:val="32"/>
          <w:u w:val="none" w:color="auto"/>
          <w:lang w:val="en-US" w:eastAsia="zh-CN" w:bidi="ar-SA"/>
        </w:rPr>
        <w:t>2023年12月26日，我局厦门稽查办收到省局转来的四川省绵阳市场监督管理局《案件移送函》（绵市监案移〔2023〕6号），函述厦门天祚医疗科技有限公司（以下简称“厦门天祚”）生产的雾化器（规格型号：小儿型，批号：2023330A）在外包装上粘贴有环氧乙烷灭菌化学指示标签（以下简称“灭菌标识”），与该产品注册证适用范围“该产品供液态药物雾化吸入治疗用。出厂时未做灭菌，须由使用单位消毒或灭菌后方可使用”不一致。</w:t>
      </w:r>
    </w:p>
    <w:p>
      <w:pPr>
        <w:pStyle w:val="5"/>
        <w:keepNext w:val="0"/>
        <w:keepLines w:val="0"/>
        <w:pageBreakBefore w:val="0"/>
        <w:widowControl w:val="0"/>
        <w:tabs>
          <w:tab w:val="left" w:pos="8964"/>
        </w:tabs>
        <w:kinsoku/>
        <w:wordWrap w:val="0"/>
        <w:overflowPunct/>
        <w:topLinePunct w:val="0"/>
        <w:autoSpaceDE/>
        <w:autoSpaceDN/>
        <w:bidi w:val="0"/>
        <w:spacing w:line="560" w:lineRule="exact"/>
        <w:ind w:left="0" w:firstLine="640" w:firstLineChars="200"/>
        <w:jc w:val="both"/>
        <w:textAlignment w:val="auto"/>
        <w:rPr>
          <w:rFonts w:hint="eastAsia" w:ascii="仿宋" w:hAnsi="仿宋" w:eastAsia="仿宋" w:cs="仿宋"/>
          <w:color w:val="auto"/>
          <w:kern w:val="2"/>
          <w:sz w:val="32"/>
          <w:szCs w:val="32"/>
          <w:u w:val="none" w:color="auto"/>
          <w:lang w:val="en-US" w:eastAsia="zh-CN" w:bidi="ar-SA"/>
        </w:rPr>
      </w:pPr>
      <w:r>
        <w:rPr>
          <w:rFonts w:hint="eastAsia" w:ascii="仿宋" w:hAnsi="仿宋" w:eastAsia="仿宋" w:cs="仿宋"/>
          <w:color w:val="auto"/>
          <w:kern w:val="2"/>
          <w:sz w:val="32"/>
          <w:szCs w:val="32"/>
          <w:u w:val="none" w:color="auto"/>
          <w:lang w:val="en-US" w:eastAsia="zh-CN" w:bidi="ar-SA"/>
        </w:rPr>
        <w:t>2024年1月3日，执法人员到厦门天祚进行了现场核查，未发现厦门天祚将涉案批次产品以灭菌形式销售给丹祚工贸。同日，执法人员到丹祚工贸进行现场核查。通过现场核查，发现丹祚工贸将涉案批次雾化器</w:t>
      </w:r>
      <w:r>
        <w:rPr>
          <w:rFonts w:hint="eastAsia" w:ascii="仿宋_GB2312" w:hAnsi="仿宋_GB2312" w:eastAsia="仿宋_GB2312" w:cs="仿宋_GB2312"/>
          <w:sz w:val="32"/>
          <w:szCs w:val="32"/>
          <w:lang w:eastAsia="zh-CN"/>
        </w:rPr>
        <w:t>委托惠聆（厦门）医疗科技有限公司（以下简称“惠聆医疗”）</w:t>
      </w:r>
      <w:r>
        <w:rPr>
          <w:rFonts w:hint="eastAsia" w:ascii="仿宋" w:hAnsi="仿宋" w:eastAsia="仿宋" w:cs="仿宋"/>
          <w:color w:val="auto"/>
          <w:kern w:val="2"/>
          <w:sz w:val="32"/>
          <w:szCs w:val="32"/>
          <w:u w:val="none" w:color="auto"/>
          <w:lang w:val="en-US" w:eastAsia="zh-CN" w:bidi="ar-SA"/>
        </w:rPr>
        <w:t>进行环氧乙烷灭菌并加贴灭菌标识后，销售给四川姊哲医药科技有限公司（以下简称“四川姊哲”）。</w:t>
      </w:r>
    </w:p>
    <w:p>
      <w:pPr>
        <w:pStyle w:val="5"/>
        <w:keepNext w:val="0"/>
        <w:keepLines w:val="0"/>
        <w:pageBreakBefore w:val="0"/>
        <w:widowControl w:val="0"/>
        <w:tabs>
          <w:tab w:val="left" w:pos="8964"/>
        </w:tabs>
        <w:kinsoku/>
        <w:wordWrap w:val="0"/>
        <w:overflowPunct/>
        <w:topLinePunct w:val="0"/>
        <w:autoSpaceDE/>
        <w:autoSpaceDN/>
        <w:bidi w:val="0"/>
        <w:spacing w:line="560" w:lineRule="exact"/>
        <w:ind w:left="0" w:firstLine="640" w:firstLineChars="200"/>
        <w:jc w:val="both"/>
        <w:textAlignment w:val="auto"/>
        <w:rPr>
          <w:rFonts w:hint="eastAsia" w:ascii="仿宋" w:hAnsi="仿宋" w:eastAsia="仿宋" w:cs="仿宋"/>
          <w:color w:val="auto"/>
          <w:kern w:val="2"/>
          <w:sz w:val="32"/>
          <w:szCs w:val="32"/>
          <w:u w:val="none" w:color="auto"/>
          <w:lang w:val="en-US" w:eastAsia="zh-CN" w:bidi="ar-SA"/>
        </w:rPr>
      </w:pPr>
      <w:r>
        <w:rPr>
          <w:rFonts w:hint="eastAsia" w:ascii="仿宋" w:hAnsi="仿宋" w:eastAsia="仿宋" w:cs="仿宋"/>
          <w:color w:val="auto"/>
          <w:kern w:val="2"/>
          <w:sz w:val="32"/>
          <w:szCs w:val="32"/>
          <w:u w:val="none" w:color="auto"/>
          <w:lang w:val="en-US" w:eastAsia="zh-CN" w:bidi="ar-SA"/>
        </w:rPr>
        <w:t>根据案件移送函和现场核查情况，丹祚工贸涉嫌未经许可从事第二类医疗器械（雾化器）生产行为，违反了《医疗器械监督管理条例》第三十二条的规定。1月16日，我局厦门稽查办经报省局审批同意，予以立案调查。</w:t>
      </w:r>
    </w:p>
    <w:p>
      <w:pPr>
        <w:pStyle w:val="5"/>
        <w:keepNext w:val="0"/>
        <w:keepLines w:val="0"/>
        <w:pageBreakBefore w:val="0"/>
        <w:widowControl w:val="0"/>
        <w:tabs>
          <w:tab w:val="left" w:pos="8964"/>
        </w:tabs>
        <w:kinsoku/>
        <w:wordWrap w:val="0"/>
        <w:overflowPunct/>
        <w:topLinePunct w:val="0"/>
        <w:autoSpaceDE/>
        <w:autoSpaceDN/>
        <w:bidi w:val="0"/>
        <w:spacing w:line="560" w:lineRule="exact"/>
        <w:ind w:left="0" w:firstLine="640" w:firstLineChars="200"/>
        <w:jc w:val="both"/>
        <w:textAlignment w:val="auto"/>
        <w:rPr>
          <w:rFonts w:hint="eastAsia" w:ascii="仿宋" w:hAnsi="仿宋" w:eastAsia="仿宋" w:cs="仿宋"/>
          <w:color w:val="auto"/>
          <w:kern w:val="2"/>
          <w:sz w:val="32"/>
          <w:szCs w:val="32"/>
          <w:u w:val="none" w:color="auto"/>
          <w:lang w:val="en-US" w:eastAsia="zh-CN"/>
        </w:rPr>
      </w:pPr>
      <w:r>
        <w:rPr>
          <w:rFonts w:hint="eastAsia" w:ascii="仿宋" w:hAnsi="仿宋" w:eastAsia="仿宋" w:cs="仿宋"/>
          <w:color w:val="auto"/>
          <w:kern w:val="2"/>
          <w:sz w:val="32"/>
          <w:szCs w:val="32"/>
          <w:u w:val="none" w:color="auto"/>
          <w:lang w:val="en-US" w:eastAsia="zh-CN"/>
        </w:rPr>
        <w:t>2024年1月31日，执法人员依法对丹祚工贸召回的批号为2023330A的131套雾化器实施了扣押的行政强制措施，并于2024年2月29日解除了行政强制措施。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eastAsia" w:ascii="仿宋" w:hAnsi="仿宋" w:eastAsia="仿宋" w:cs="仿宋"/>
          <w:color w:val="auto"/>
          <w:kern w:val="2"/>
          <w:sz w:val="32"/>
          <w:szCs w:val="32"/>
          <w:u w:val="none" w:color="auto"/>
          <w:lang w:val="en-US" w:eastAsia="zh-CN"/>
        </w:rPr>
        <w:t>根据对丹祚工贸及相关人员的询问调查和相应证据材料分析，我局确定了当事人违法事实。经查，丹祚工贸向厦门天祚共购买了涉案批次雾化器1000套，将785套涉案批次雾化器销售给四川姊哲，涉案批次雾化器单价6.5元/套，金额为5102.5元；剩余215套中有15套用于测试不计入货值金额，200套用于内部员工发放，按单价6.5元/套计算，货值金额为1300元，未支付货款因此无违法所得。</w:t>
      </w:r>
      <w:r>
        <w:rPr>
          <w:rFonts w:hint="eastAsia" w:ascii="仿宋_GB2312" w:hAnsi="仿宋_GB2312" w:eastAsia="仿宋_GB2312" w:cs="仿宋_GB2312"/>
          <w:color w:val="auto"/>
          <w:sz w:val="32"/>
          <w:szCs w:val="32"/>
          <w:lang w:val="en-US" w:eastAsia="zh-CN" w:bidi="ar-SA"/>
        </w:rPr>
        <w:t>截至2024年1月5日，当事人</w:t>
      </w:r>
      <w:r>
        <w:rPr>
          <w:rFonts w:hint="eastAsia" w:ascii="仿宋_GB2312" w:hAnsi="仿宋_GB2312" w:eastAsia="仿宋_GB2312" w:cs="仿宋_GB2312"/>
          <w:color w:val="auto"/>
          <w:sz w:val="32"/>
          <w:szCs w:val="32"/>
          <w:lang w:eastAsia="zh-CN"/>
        </w:rPr>
        <w:t>已召回的数量为</w:t>
      </w:r>
      <w:r>
        <w:rPr>
          <w:rFonts w:hint="eastAsia" w:ascii="仿宋_GB2312" w:hAnsi="仿宋_GB2312" w:eastAsia="仿宋_GB2312" w:cs="仿宋_GB2312"/>
          <w:color w:val="auto"/>
          <w:sz w:val="32"/>
          <w:szCs w:val="32"/>
          <w:lang w:val="en-US" w:eastAsia="zh-CN"/>
        </w:rPr>
        <w:t>131套</w:t>
      </w:r>
      <w:r>
        <w:rPr>
          <w:rFonts w:hint="eastAsia" w:ascii="仿宋_GB2312" w:hAnsi="仿宋_GB2312" w:eastAsia="仿宋_GB2312" w:cs="仿宋_GB2312"/>
          <w:color w:val="auto"/>
          <w:sz w:val="32"/>
          <w:szCs w:val="32"/>
          <w:lang w:eastAsia="zh-CN"/>
        </w:rPr>
        <w:t>，未召回的数量为</w:t>
      </w:r>
      <w:r>
        <w:rPr>
          <w:rFonts w:hint="eastAsia" w:ascii="仿宋_GB2312" w:hAnsi="仿宋_GB2312" w:eastAsia="仿宋_GB2312" w:cs="仿宋_GB2312"/>
          <w:color w:val="auto"/>
          <w:sz w:val="32"/>
          <w:szCs w:val="32"/>
          <w:lang w:val="en-US" w:eastAsia="zh-CN"/>
        </w:rPr>
        <w:t>744</w:t>
      </w:r>
      <w:r>
        <w:rPr>
          <w:rFonts w:hint="eastAsia" w:ascii="仿宋_GB2312" w:hAnsi="仿宋_GB2312" w:eastAsia="仿宋_GB2312" w:cs="仿宋_GB2312"/>
          <w:color w:val="auto"/>
          <w:sz w:val="32"/>
          <w:szCs w:val="32"/>
          <w:lang w:eastAsia="zh-CN"/>
        </w:rPr>
        <w:t>套，退回全部货款</w:t>
      </w:r>
      <w:r>
        <w:rPr>
          <w:rFonts w:hint="eastAsia" w:ascii="仿宋" w:hAnsi="仿宋" w:eastAsia="仿宋" w:cs="仿宋"/>
          <w:color w:val="auto"/>
          <w:kern w:val="2"/>
          <w:sz w:val="32"/>
          <w:szCs w:val="32"/>
          <w:u w:val="none" w:color="auto"/>
          <w:lang w:val="en-US" w:eastAsia="zh-CN"/>
        </w:rPr>
        <w:t>。</w:t>
      </w:r>
      <w:r>
        <w:rPr>
          <w:rFonts w:hint="eastAsia" w:ascii="仿宋_GB2312" w:hAnsi="仿宋_GB2312" w:eastAsia="仿宋_GB2312" w:cs="仿宋_GB2312"/>
          <w:color w:val="auto"/>
          <w:sz w:val="32"/>
          <w:szCs w:val="32"/>
          <w:lang w:val="en-US" w:eastAsia="zh-CN"/>
        </w:rPr>
        <w:t>综上，涉案批次总货值金额为6402.5元，由于丹祚工贸将四川姊哲支付的货款5102.5元全部退回，无违法所得。</w:t>
      </w:r>
    </w:p>
    <w:p>
      <w:pPr>
        <w:keepNext w:val="0"/>
        <w:keepLines w:val="0"/>
        <w:pageBreakBefore w:val="0"/>
        <w:widowControl w:val="0"/>
        <w:kinsoku/>
        <w:wordWrap w:val="0"/>
        <w:overflowPunct/>
        <w:topLinePunct w:val="0"/>
        <w:autoSpaceDE/>
        <w:autoSpaceDN/>
        <w:bidi w:val="0"/>
        <w:adjustRightInd/>
        <w:snapToGrid/>
        <w:spacing w:line="560" w:lineRule="exact"/>
        <w:ind w:firstLine="596" w:firstLineChars="200"/>
        <w:jc w:val="both"/>
        <w:textAlignment w:val="auto"/>
        <w:rPr>
          <w:rFonts w:ascii="黑体" w:hAnsi="黑体" w:eastAsia="黑体" w:cs="黑体"/>
          <w:color w:val="auto"/>
          <w:spacing w:val="-11"/>
          <w:sz w:val="32"/>
          <w:szCs w:val="32"/>
          <w:lang w:eastAsia="zh-CN"/>
        </w:rPr>
      </w:pPr>
      <w:r>
        <w:rPr>
          <w:rFonts w:hint="eastAsia" w:ascii="黑体" w:hAnsi="黑体" w:eastAsia="黑体" w:cs="黑体"/>
          <w:color w:val="auto"/>
          <w:spacing w:val="-11"/>
          <w:sz w:val="32"/>
          <w:szCs w:val="32"/>
          <w:lang w:eastAsia="zh-CN"/>
        </w:rPr>
        <w:t>上述事实，主要有以下证据证明：</w:t>
      </w:r>
    </w:p>
    <w:p>
      <w:pPr>
        <w:pStyle w:val="5"/>
        <w:keepNext w:val="0"/>
        <w:keepLines w:val="0"/>
        <w:pageBreakBefore w:val="0"/>
        <w:widowControl w:val="0"/>
        <w:tabs>
          <w:tab w:val="left" w:pos="8920"/>
        </w:tabs>
        <w:kinsoku/>
        <w:wordWrap/>
        <w:overflowPunct/>
        <w:topLinePunct w:val="0"/>
        <w:autoSpaceDE/>
        <w:autoSpaceDN/>
        <w:bidi w:val="0"/>
        <w:spacing w:line="560" w:lineRule="exact"/>
        <w:ind w:left="0" w:leftChars="0" w:firstLine="640" w:firstLineChars="200"/>
        <w:jc w:val="both"/>
        <w:textAlignment w:val="auto"/>
        <w:rPr>
          <w:rFonts w:hint="eastAsia" w:ascii="仿宋_GB2312" w:hAnsi="仿宋_GB2312" w:eastAsia="仿宋_GB2312" w:cs="仿宋_GB2312"/>
          <w:color w:val="auto"/>
          <w:lang w:eastAsia="zh-CN"/>
        </w:rPr>
      </w:pPr>
      <w:r>
        <w:rPr>
          <w:rFonts w:hint="eastAsia" w:ascii="仿宋" w:hAnsi="仿宋" w:eastAsia="仿宋" w:cs="仿宋"/>
          <w:color w:val="auto"/>
          <w:kern w:val="1"/>
          <w:sz w:val="32"/>
          <w:szCs w:val="32"/>
          <w:lang w:val="en-US" w:eastAsia="zh-CN" w:bidi="ar-SA"/>
        </w:rPr>
        <w:t>1.</w:t>
      </w:r>
      <w:r>
        <w:rPr>
          <w:rFonts w:hint="eastAsia" w:ascii="仿宋_GB2312" w:hAnsi="仿宋_GB2312" w:eastAsia="仿宋_GB2312" w:cs="仿宋_GB2312"/>
          <w:color w:val="auto"/>
          <w:sz w:val="32"/>
          <w:szCs w:val="32"/>
          <w:lang w:eastAsia="zh-CN"/>
        </w:rPr>
        <w:t>四川省绵阳市市场监督管理局《案件移送函》（绵市监案移〔2023〕</w:t>
      </w:r>
      <w:r>
        <w:rPr>
          <w:rFonts w:hint="eastAsia" w:ascii="仿宋_GB2312" w:hAnsi="仿宋_GB2312" w:eastAsia="仿宋_GB2312" w:cs="仿宋_GB2312"/>
          <w:color w:val="auto"/>
          <w:sz w:val="32"/>
          <w:szCs w:val="32"/>
          <w:lang w:val="en-US" w:eastAsia="zh-CN"/>
        </w:rPr>
        <w:t>6</w:t>
      </w:r>
      <w:r>
        <w:rPr>
          <w:rFonts w:hint="eastAsia" w:ascii="仿宋_GB2312" w:hAnsi="仿宋_GB2312" w:eastAsia="仿宋_GB2312" w:cs="仿宋_GB2312"/>
          <w:color w:val="auto"/>
          <w:sz w:val="32"/>
          <w:szCs w:val="32"/>
          <w:lang w:eastAsia="zh-CN"/>
        </w:rPr>
        <w:t>号）</w:t>
      </w:r>
      <w:r>
        <w:rPr>
          <w:rFonts w:hint="eastAsia" w:ascii="仿宋_GB2312" w:hAnsi="仿宋_GB2312" w:eastAsia="仿宋_GB2312" w:cs="仿宋_GB2312"/>
          <w:color w:val="auto"/>
          <w:lang w:val="en-US" w:eastAsia="zh-CN"/>
        </w:rPr>
        <w:t>，说明违法线索来源及涉案产品批号、型号；</w:t>
      </w:r>
    </w:p>
    <w:p>
      <w:pPr>
        <w:pStyle w:val="5"/>
        <w:keepNext w:val="0"/>
        <w:keepLines w:val="0"/>
        <w:pageBreakBefore w:val="0"/>
        <w:widowControl w:val="0"/>
        <w:tabs>
          <w:tab w:val="left" w:pos="8920"/>
        </w:tabs>
        <w:kinsoku/>
        <w:wordWrap/>
        <w:overflowPunct/>
        <w:topLinePunct w:val="0"/>
        <w:autoSpaceDE/>
        <w:autoSpaceDN/>
        <w:bidi w:val="0"/>
        <w:spacing w:line="560" w:lineRule="exact"/>
        <w:ind w:left="0" w:leftChars="0" w:firstLine="640" w:firstLineChars="200"/>
        <w:jc w:val="both"/>
        <w:textAlignment w:val="auto"/>
        <w:rPr>
          <w:rFonts w:hint="eastAsia" w:ascii="仿宋_GB2312" w:hAnsi="仿宋_GB2312" w:eastAsia="仿宋_GB2312" w:cs="仿宋_GB2312"/>
          <w:color w:val="auto"/>
          <w:lang w:eastAsia="zh-CN"/>
        </w:rPr>
      </w:pPr>
      <w:r>
        <w:rPr>
          <w:rFonts w:hint="eastAsia" w:ascii="仿宋_GB2312" w:hAnsi="仿宋_GB2312" w:eastAsia="仿宋_GB2312" w:cs="仿宋_GB2312"/>
          <w:color w:val="auto"/>
          <w:lang w:eastAsia="zh-CN"/>
        </w:rPr>
        <w:t>2.厦门天祚的《营业执照》《医疗器械生产许可证》（闽药监械生产许</w:t>
      </w:r>
      <w:r>
        <w:rPr>
          <w:rFonts w:hint="eastAsia" w:ascii="仿宋_GB2312" w:hAnsi="仿宋_GB2312" w:eastAsia="仿宋_GB2312" w:cs="仿宋_GB2312"/>
          <w:color w:val="auto"/>
          <w:lang w:val="en-US" w:eastAsia="zh-CN"/>
        </w:rPr>
        <w:t>20110313号</w:t>
      </w:r>
      <w:r>
        <w:rPr>
          <w:rFonts w:hint="eastAsia" w:ascii="仿宋_GB2312" w:hAnsi="仿宋_GB2312" w:eastAsia="仿宋_GB2312" w:cs="仿宋_GB2312"/>
          <w:color w:val="auto"/>
          <w:lang w:eastAsia="zh-CN"/>
        </w:rPr>
        <w:t>）、雾化器《医疗器械注册证》（闽械注准</w:t>
      </w:r>
      <w:r>
        <w:rPr>
          <w:rFonts w:hint="eastAsia" w:ascii="仿宋_GB2312" w:hAnsi="仿宋_GB2312" w:eastAsia="仿宋_GB2312" w:cs="仿宋_GB2312"/>
          <w:color w:val="auto"/>
          <w:lang w:val="en-US" w:eastAsia="zh-CN"/>
        </w:rPr>
        <w:t>20152080127</w:t>
      </w:r>
      <w:r>
        <w:rPr>
          <w:rFonts w:hint="eastAsia" w:ascii="仿宋_GB2312" w:hAnsi="仿宋_GB2312" w:eastAsia="仿宋_GB2312" w:cs="仿宋_GB2312"/>
          <w:color w:val="auto"/>
          <w:lang w:eastAsia="zh-CN"/>
        </w:rPr>
        <w:t>），说明涉案批次产品生产厂家的资质；</w:t>
      </w:r>
    </w:p>
    <w:p>
      <w:pPr>
        <w:pStyle w:val="5"/>
        <w:keepNext w:val="0"/>
        <w:keepLines w:val="0"/>
        <w:pageBreakBefore w:val="0"/>
        <w:widowControl w:val="0"/>
        <w:tabs>
          <w:tab w:val="left" w:pos="8920"/>
        </w:tabs>
        <w:kinsoku/>
        <w:wordWrap/>
        <w:overflowPunct/>
        <w:topLinePunct w:val="0"/>
        <w:autoSpaceDE/>
        <w:autoSpaceDN/>
        <w:bidi w:val="0"/>
        <w:spacing w:line="560" w:lineRule="exact"/>
        <w:ind w:left="0" w:leftChars="0" w:firstLine="640" w:firstLineChars="200"/>
        <w:jc w:val="both"/>
        <w:textAlignment w:val="auto"/>
        <w:rPr>
          <w:rFonts w:hint="eastAsia" w:ascii="仿宋_GB2312" w:hAnsi="仿宋_GB2312" w:eastAsia="仿宋_GB2312" w:cs="仿宋_GB2312"/>
          <w:color w:val="auto"/>
          <w:lang w:eastAsia="zh-CN"/>
        </w:rPr>
      </w:pPr>
      <w:r>
        <w:rPr>
          <w:rFonts w:hint="eastAsia" w:ascii="仿宋_GB2312" w:hAnsi="仿宋_GB2312" w:eastAsia="仿宋_GB2312" w:cs="仿宋_GB2312"/>
          <w:color w:val="auto"/>
          <w:lang w:val="en-US" w:eastAsia="zh-CN"/>
        </w:rPr>
        <w:t>3.</w:t>
      </w:r>
      <w:r>
        <w:rPr>
          <w:rFonts w:hint="eastAsia" w:ascii="仿宋_GB2312" w:hAnsi="仿宋_GB2312" w:eastAsia="仿宋_GB2312" w:cs="仿宋_GB2312"/>
          <w:color w:val="auto"/>
          <w:lang w:eastAsia="zh-CN"/>
        </w:rPr>
        <w:t>丹祚工贸的《营业执照》《第二类医疗器械经营备案凭证》（闽厦食药监械经营备</w:t>
      </w:r>
      <w:r>
        <w:rPr>
          <w:rFonts w:hint="eastAsia" w:ascii="仿宋_GB2312" w:hAnsi="仿宋_GB2312" w:eastAsia="仿宋_GB2312" w:cs="仿宋_GB2312"/>
          <w:color w:val="auto"/>
          <w:lang w:val="en-US" w:eastAsia="zh-CN"/>
        </w:rPr>
        <w:t>20215009号</w:t>
      </w:r>
      <w:r>
        <w:rPr>
          <w:rFonts w:hint="eastAsia" w:ascii="仿宋_GB2312" w:hAnsi="仿宋_GB2312" w:eastAsia="仿宋_GB2312" w:cs="仿宋_GB2312"/>
          <w:color w:val="auto"/>
          <w:lang w:eastAsia="zh-CN"/>
        </w:rPr>
        <w:t>），证明当事人的资质情况；</w:t>
      </w:r>
    </w:p>
    <w:p>
      <w:pPr>
        <w:pStyle w:val="5"/>
        <w:keepNext w:val="0"/>
        <w:keepLines w:val="0"/>
        <w:pageBreakBefore w:val="0"/>
        <w:widowControl w:val="0"/>
        <w:tabs>
          <w:tab w:val="left" w:pos="8920"/>
        </w:tabs>
        <w:kinsoku/>
        <w:wordWrap/>
        <w:overflowPunct/>
        <w:topLinePunct w:val="0"/>
        <w:autoSpaceDE/>
        <w:autoSpaceDN/>
        <w:bidi w:val="0"/>
        <w:spacing w:line="560" w:lineRule="exact"/>
        <w:ind w:left="0" w:leftChars="0" w:firstLine="640" w:firstLineChars="200"/>
        <w:jc w:val="both"/>
        <w:textAlignment w:val="auto"/>
        <w:rPr>
          <w:rFonts w:ascii="仿宋_GB2312" w:hAnsi="仿宋_GB2312" w:eastAsia="仿宋_GB2312" w:cs="仿宋_GB2312"/>
          <w:color w:val="auto"/>
          <w:lang w:eastAsia="zh-CN"/>
        </w:rPr>
      </w:pPr>
      <w:r>
        <w:rPr>
          <w:rFonts w:hint="eastAsia" w:ascii="仿宋_GB2312" w:hAnsi="仿宋_GB2312" w:eastAsia="仿宋_GB2312" w:cs="仿宋_GB2312"/>
          <w:color w:val="auto"/>
          <w:lang w:val="en-US" w:eastAsia="zh-CN"/>
        </w:rPr>
        <w:t>4</w:t>
      </w:r>
      <w:r>
        <w:rPr>
          <w:rFonts w:hint="eastAsia" w:ascii="仿宋_GB2312" w:hAnsi="仿宋_GB2312" w:eastAsia="仿宋_GB2312" w:cs="仿宋_GB2312"/>
          <w:color w:val="auto"/>
          <w:lang w:eastAsia="zh-CN"/>
        </w:rPr>
        <w:t>.厦门天祚《员工花名册》、丹祚工贸《员工花名册》，吴</w:t>
      </w:r>
      <w:r>
        <w:rPr>
          <w:rFonts w:hint="eastAsia" w:ascii="仿宋_GB2312" w:hAnsi="仿宋_GB2312" w:eastAsia="仿宋_GB2312" w:cs="仿宋_GB2312"/>
          <w:color w:val="auto"/>
          <w:lang w:val="en-US" w:eastAsia="zh-CN"/>
        </w:rPr>
        <w:t>X</w:t>
      </w:r>
      <w:r>
        <w:rPr>
          <w:rFonts w:hint="eastAsia" w:ascii="仿宋_GB2312" w:hAnsi="仿宋_GB2312" w:eastAsia="仿宋_GB2312" w:cs="仿宋_GB2312"/>
          <w:color w:val="auto"/>
          <w:lang w:eastAsia="zh-CN"/>
        </w:rPr>
        <w:t>、郑</w:t>
      </w:r>
      <w:r>
        <w:rPr>
          <w:rFonts w:hint="eastAsia" w:ascii="仿宋_GB2312" w:hAnsi="仿宋_GB2312" w:eastAsia="仿宋_GB2312" w:cs="仿宋_GB2312"/>
          <w:color w:val="auto"/>
          <w:lang w:val="en-US" w:eastAsia="zh-CN"/>
        </w:rPr>
        <w:t>X</w:t>
      </w:r>
      <w:r>
        <w:rPr>
          <w:rFonts w:hint="eastAsia" w:ascii="仿宋_GB2312" w:hAnsi="仿宋_GB2312" w:eastAsia="仿宋_GB2312" w:cs="仿宋_GB2312"/>
          <w:color w:val="auto"/>
          <w:lang w:eastAsia="zh-CN"/>
        </w:rPr>
        <w:t>、林</w:t>
      </w:r>
      <w:r>
        <w:rPr>
          <w:rFonts w:hint="eastAsia" w:ascii="仿宋_GB2312" w:hAnsi="仿宋_GB2312" w:eastAsia="仿宋_GB2312" w:cs="仿宋_GB2312"/>
          <w:color w:val="auto"/>
          <w:lang w:val="en-US" w:eastAsia="zh-CN"/>
        </w:rPr>
        <w:t>XX</w:t>
      </w:r>
      <w:r>
        <w:rPr>
          <w:rFonts w:hint="eastAsia" w:ascii="仿宋_GB2312" w:hAnsi="仿宋_GB2312" w:eastAsia="仿宋_GB2312" w:cs="仿宋_GB2312"/>
          <w:color w:val="auto"/>
          <w:lang w:eastAsia="zh-CN"/>
        </w:rPr>
        <w:t>、庄</w:t>
      </w:r>
      <w:r>
        <w:rPr>
          <w:rFonts w:hint="eastAsia" w:ascii="仿宋_GB2312" w:hAnsi="仿宋_GB2312" w:eastAsia="仿宋_GB2312" w:cs="仿宋_GB2312"/>
          <w:color w:val="auto"/>
          <w:lang w:val="en-US" w:eastAsia="zh-CN"/>
        </w:rPr>
        <w:t>XX</w:t>
      </w:r>
      <w:r>
        <w:rPr>
          <w:rFonts w:hint="eastAsia" w:ascii="仿宋_GB2312" w:hAnsi="仿宋_GB2312" w:eastAsia="仿宋_GB2312" w:cs="仿宋_GB2312"/>
          <w:color w:val="auto"/>
          <w:lang w:eastAsia="zh-CN"/>
        </w:rPr>
        <w:t>、陈</w:t>
      </w:r>
      <w:r>
        <w:rPr>
          <w:rFonts w:hint="eastAsia" w:ascii="仿宋_GB2312" w:hAnsi="仿宋_GB2312" w:eastAsia="仿宋_GB2312" w:cs="仿宋_GB2312"/>
          <w:color w:val="auto"/>
          <w:lang w:val="en-US" w:eastAsia="zh-CN"/>
        </w:rPr>
        <w:t>XX</w:t>
      </w:r>
      <w:r>
        <w:rPr>
          <w:rFonts w:hint="eastAsia" w:ascii="仿宋_GB2312" w:hAnsi="仿宋_GB2312" w:eastAsia="仿宋_GB2312" w:cs="仿宋_GB2312"/>
          <w:color w:val="auto"/>
          <w:lang w:eastAsia="zh-CN"/>
        </w:rPr>
        <w:t>等</w:t>
      </w:r>
      <w:r>
        <w:rPr>
          <w:rFonts w:hint="eastAsia" w:ascii="仿宋_GB2312" w:hAnsi="仿宋_GB2312" w:eastAsia="仿宋_GB2312" w:cs="仿宋_GB2312"/>
          <w:color w:val="auto"/>
          <w:lang w:val="en-US" w:eastAsia="zh-CN"/>
        </w:rPr>
        <w:t>5</w:t>
      </w:r>
      <w:r>
        <w:rPr>
          <w:rFonts w:hint="eastAsia" w:ascii="仿宋_GB2312" w:hAnsi="仿宋_GB2312" w:eastAsia="仿宋_GB2312" w:cs="仿宋_GB2312"/>
          <w:color w:val="auto"/>
          <w:lang w:eastAsia="zh-CN"/>
        </w:rPr>
        <w:t>人身份证复印件各1份，证明厦门天祚、丹祚工贸相关人员的身份、职务情况；</w:t>
      </w:r>
    </w:p>
    <w:p>
      <w:pPr>
        <w:pStyle w:val="5"/>
        <w:keepNext w:val="0"/>
        <w:keepLines w:val="0"/>
        <w:pageBreakBefore w:val="0"/>
        <w:widowControl w:val="0"/>
        <w:tabs>
          <w:tab w:val="left" w:pos="8920"/>
        </w:tabs>
        <w:kinsoku/>
        <w:wordWrap/>
        <w:overflowPunct/>
        <w:topLinePunct w:val="0"/>
        <w:autoSpaceDE/>
        <w:autoSpaceDN/>
        <w:bidi w:val="0"/>
        <w:spacing w:line="560" w:lineRule="exact"/>
        <w:ind w:left="0" w:leftChars="0" w:firstLine="640" w:firstLineChars="200"/>
        <w:jc w:val="both"/>
        <w:textAlignment w:val="auto"/>
        <w:rPr>
          <w:rFonts w:hint="eastAsia" w:ascii="仿宋_GB2312" w:hAnsi="仿宋_GB2312" w:eastAsia="仿宋_GB2312" w:cs="仿宋_GB2312"/>
          <w:b w:val="0"/>
          <w:bCs w:val="0"/>
          <w:color w:val="auto"/>
          <w:lang w:eastAsia="zh-CN"/>
        </w:rPr>
      </w:pPr>
      <w:r>
        <w:rPr>
          <w:rFonts w:hint="eastAsia" w:ascii="仿宋_GB2312" w:hAnsi="仿宋_GB2312" w:eastAsia="仿宋_GB2312" w:cs="仿宋_GB2312"/>
          <w:color w:val="auto"/>
          <w:lang w:val="en-US" w:eastAsia="zh-CN"/>
        </w:rPr>
        <w:t>5</w:t>
      </w:r>
      <w:r>
        <w:rPr>
          <w:rFonts w:hint="eastAsia" w:ascii="仿宋_GB2312" w:hAnsi="仿宋_GB2312" w:eastAsia="仿宋_GB2312" w:cs="仿宋_GB2312"/>
          <w:color w:val="auto"/>
          <w:lang w:eastAsia="zh-CN"/>
        </w:rPr>
        <w:t>.厦门天祚提供的涉案产品《说明书》《产品留样管理规定》《雾化器检验规范》</w:t>
      </w:r>
      <w:r>
        <w:rPr>
          <w:rFonts w:hint="eastAsia" w:ascii="仿宋_GB2312" w:hAnsi="仿宋_GB2312" w:eastAsia="仿宋_GB2312" w:cs="仿宋_GB2312"/>
          <w:color w:val="auto"/>
          <w:sz w:val="32"/>
          <w:szCs w:val="32"/>
          <w:lang w:eastAsia="zh-CN"/>
        </w:rPr>
        <w:t>《产品审核批次放行单》《产品检验报告》</w:t>
      </w:r>
      <w:r>
        <w:rPr>
          <w:rFonts w:hint="eastAsia" w:ascii="仿宋_GB2312" w:hAnsi="仿宋_GB2312" w:eastAsia="仿宋_GB2312" w:cs="仿宋_GB2312"/>
          <w:b w:val="0"/>
          <w:bCs w:val="0"/>
          <w:color w:val="auto"/>
          <w:lang w:eastAsia="zh-CN"/>
        </w:rPr>
        <w:t>以及涉案批次雾化器的留样图片</w:t>
      </w:r>
      <w:r>
        <w:rPr>
          <w:rFonts w:hint="eastAsia" w:ascii="仿宋_GB2312" w:hAnsi="仿宋_GB2312" w:eastAsia="仿宋_GB2312" w:cs="仿宋_GB2312"/>
          <w:b w:val="0"/>
          <w:bCs w:val="0"/>
          <w:color w:val="auto"/>
          <w:lang w:val="en-US" w:eastAsia="zh-CN"/>
        </w:rPr>
        <w:t>1份，</w:t>
      </w:r>
      <w:r>
        <w:rPr>
          <w:rFonts w:hint="eastAsia" w:ascii="仿宋_GB2312" w:hAnsi="仿宋_GB2312" w:eastAsia="仿宋_GB2312" w:cs="仿宋_GB2312"/>
          <w:b w:val="0"/>
          <w:bCs w:val="0"/>
          <w:color w:val="auto"/>
          <w:lang w:eastAsia="zh-CN"/>
        </w:rPr>
        <w:t>证明厦门天祚对涉案产品的生产、检验、未进行灭菌及销售情况；</w:t>
      </w:r>
    </w:p>
    <w:p>
      <w:pPr>
        <w:pStyle w:val="5"/>
        <w:keepNext w:val="0"/>
        <w:keepLines w:val="0"/>
        <w:pageBreakBefore w:val="0"/>
        <w:widowControl w:val="0"/>
        <w:tabs>
          <w:tab w:val="left" w:pos="8920"/>
        </w:tabs>
        <w:kinsoku/>
        <w:wordWrap/>
        <w:overflowPunct/>
        <w:topLinePunct w:val="0"/>
        <w:autoSpaceDE/>
        <w:autoSpaceDN/>
        <w:bidi w:val="0"/>
        <w:spacing w:line="560" w:lineRule="exact"/>
        <w:ind w:left="0" w:leftChars="0" w:firstLine="640" w:firstLineChars="200"/>
        <w:jc w:val="both"/>
        <w:textAlignment w:val="auto"/>
        <w:rPr>
          <w:rFonts w:hint="eastAsia" w:ascii="仿宋_GB2312" w:hAnsi="仿宋_GB2312" w:eastAsia="仿宋_GB2312" w:cs="仿宋_GB2312"/>
          <w:color w:val="auto"/>
          <w:lang w:eastAsia="zh-CN"/>
        </w:rPr>
      </w:pPr>
      <w:r>
        <w:rPr>
          <w:rFonts w:hint="eastAsia" w:ascii="仿宋_GB2312" w:hAnsi="仿宋_GB2312" w:eastAsia="仿宋_GB2312" w:cs="仿宋_GB2312"/>
          <w:b w:val="0"/>
          <w:bCs w:val="0"/>
          <w:color w:val="auto"/>
          <w:lang w:val="en-US" w:eastAsia="zh-CN"/>
        </w:rPr>
        <w:t>6.</w:t>
      </w:r>
      <w:r>
        <w:rPr>
          <w:rFonts w:hint="eastAsia" w:ascii="仿宋_GB2312" w:hAnsi="仿宋_GB2312" w:eastAsia="仿宋_GB2312" w:cs="仿宋_GB2312"/>
          <w:color w:val="auto"/>
          <w:lang w:eastAsia="zh-CN"/>
        </w:rPr>
        <w:t>丹祚工贸与厦门天祚签订的《购销合同》《电子发票》</w:t>
      </w:r>
      <w:r>
        <w:rPr>
          <w:rFonts w:hint="eastAsia" w:ascii="仿宋_GB2312" w:hAnsi="仿宋_GB2312" w:eastAsia="仿宋_GB2312" w:cs="仿宋_GB2312"/>
          <w:b w:val="0"/>
          <w:bCs w:val="0"/>
          <w:color w:val="auto"/>
          <w:lang w:eastAsia="zh-CN"/>
        </w:rPr>
        <w:t>《出库通知单》复印件1份</w:t>
      </w:r>
      <w:r>
        <w:rPr>
          <w:rFonts w:hint="eastAsia" w:ascii="仿宋_GB2312" w:hAnsi="仿宋_GB2312" w:eastAsia="仿宋_GB2312" w:cs="仿宋_GB2312"/>
          <w:color w:val="auto"/>
          <w:lang w:eastAsia="zh-CN"/>
        </w:rPr>
        <w:t>，说明该批次产品采购情况；</w:t>
      </w:r>
    </w:p>
    <w:p>
      <w:pPr>
        <w:pStyle w:val="5"/>
        <w:keepNext w:val="0"/>
        <w:keepLines w:val="0"/>
        <w:pageBreakBefore w:val="0"/>
        <w:widowControl w:val="0"/>
        <w:tabs>
          <w:tab w:val="left" w:pos="8920"/>
        </w:tabs>
        <w:kinsoku/>
        <w:wordWrap/>
        <w:overflowPunct/>
        <w:topLinePunct w:val="0"/>
        <w:autoSpaceDE/>
        <w:autoSpaceDN/>
        <w:bidi w:val="0"/>
        <w:spacing w:line="560" w:lineRule="exact"/>
        <w:ind w:left="0" w:leftChars="0" w:firstLine="640" w:firstLineChars="200"/>
        <w:jc w:val="both"/>
        <w:textAlignment w:val="auto"/>
        <w:rPr>
          <w:rFonts w:hint="eastAsia" w:ascii="仿宋_GB2312" w:hAnsi="仿宋_GB2312" w:eastAsia="仿宋_GB2312" w:cs="仿宋_GB2312"/>
          <w:color w:val="auto"/>
          <w:lang w:eastAsia="zh-CN"/>
        </w:rPr>
      </w:pPr>
      <w:r>
        <w:rPr>
          <w:rFonts w:hint="eastAsia" w:ascii="仿宋_GB2312" w:hAnsi="仿宋_GB2312" w:eastAsia="仿宋_GB2312" w:cs="仿宋_GB2312"/>
          <w:color w:val="auto"/>
          <w:lang w:val="en-US" w:eastAsia="zh-CN"/>
        </w:rPr>
        <w:t>7</w:t>
      </w:r>
      <w:r>
        <w:rPr>
          <w:rFonts w:hint="eastAsia" w:ascii="仿宋_GB2312" w:hAnsi="仿宋_GB2312" w:eastAsia="仿宋_GB2312" w:cs="仿宋_GB2312"/>
          <w:color w:val="auto"/>
          <w:lang w:eastAsia="zh-CN"/>
        </w:rPr>
        <w:t>.</w:t>
      </w:r>
      <w:r>
        <w:rPr>
          <w:rFonts w:hint="eastAsia" w:ascii="仿宋_GB2312" w:hAnsi="仿宋_GB2312" w:eastAsia="仿宋_GB2312" w:cs="仿宋_GB2312"/>
          <w:b w:val="0"/>
          <w:bCs w:val="0"/>
          <w:color w:val="auto"/>
          <w:lang w:val="en-US" w:eastAsia="zh-CN"/>
        </w:rPr>
        <w:t>丹祚工贸与惠聆医疗签订的《环氧乙烷灭菌外包服务合同》、涉案产品的《加工合同》《入库单》、</w:t>
      </w:r>
      <w:r>
        <w:rPr>
          <w:rFonts w:hint="eastAsia" w:ascii="仿宋_GB2312" w:hAnsi="仿宋_GB2312" w:eastAsia="仿宋_GB2312" w:cs="仿宋_GB2312"/>
          <w:color w:val="auto"/>
          <w:sz w:val="32"/>
          <w:szCs w:val="32"/>
          <w:lang w:val="en-US" w:eastAsia="zh-CN"/>
        </w:rPr>
        <w:t>涉案批次雾化器的《加工合同》《常规合同评审》</w:t>
      </w:r>
      <w:r>
        <w:rPr>
          <w:rFonts w:hint="eastAsia" w:ascii="仿宋_GB2312" w:hAnsi="仿宋_GB2312" w:eastAsia="仿宋_GB2312" w:cs="仿宋_GB2312"/>
          <w:color w:val="auto"/>
          <w:sz w:val="32"/>
          <w:szCs w:val="32"/>
          <w:lang w:eastAsia="zh-CN"/>
        </w:rPr>
        <w:t>《环氧乙烷灭菌证明》《环氧乙烷灭菌过程记录》</w:t>
      </w:r>
      <w:r>
        <w:rPr>
          <w:rFonts w:hint="eastAsia" w:ascii="仿宋_GB2312" w:hAnsi="仿宋_GB2312" w:eastAsia="仿宋_GB2312" w:cs="仿宋_GB2312"/>
          <w:b w:val="0"/>
          <w:bCs w:val="0"/>
          <w:color w:val="auto"/>
          <w:lang w:val="en-US" w:eastAsia="zh-CN"/>
        </w:rPr>
        <w:t>，说明丹祚工贸对涉案产品委托灭菌的情况；</w:t>
      </w:r>
    </w:p>
    <w:p>
      <w:pPr>
        <w:pStyle w:val="5"/>
        <w:keepNext w:val="0"/>
        <w:keepLines w:val="0"/>
        <w:pageBreakBefore w:val="0"/>
        <w:widowControl w:val="0"/>
        <w:tabs>
          <w:tab w:val="left" w:pos="8920"/>
        </w:tabs>
        <w:kinsoku/>
        <w:wordWrap/>
        <w:overflowPunct/>
        <w:topLinePunct w:val="0"/>
        <w:autoSpaceDE/>
        <w:autoSpaceDN/>
        <w:bidi w:val="0"/>
        <w:spacing w:line="560" w:lineRule="exact"/>
        <w:ind w:left="0" w:leftChars="0" w:firstLine="640" w:firstLineChars="200"/>
        <w:jc w:val="both"/>
        <w:textAlignment w:val="auto"/>
        <w:rPr>
          <w:rFonts w:hint="eastAsia" w:ascii="仿宋_GB2312" w:hAnsi="仿宋_GB2312" w:eastAsia="仿宋_GB2312" w:cs="仿宋_GB2312"/>
          <w:color w:val="auto"/>
          <w:lang w:eastAsia="zh-CN"/>
        </w:rPr>
      </w:pPr>
      <w:r>
        <w:rPr>
          <w:rFonts w:hint="eastAsia" w:ascii="仿宋_GB2312" w:hAnsi="仿宋_GB2312" w:eastAsia="仿宋_GB2312" w:cs="仿宋_GB2312"/>
          <w:color w:val="auto"/>
          <w:lang w:val="en-US" w:eastAsia="zh-CN"/>
        </w:rPr>
        <w:t>8.丹祚工贸</w:t>
      </w:r>
      <w:r>
        <w:rPr>
          <w:rFonts w:hint="eastAsia" w:ascii="仿宋_GB2312" w:hAnsi="仿宋_GB2312" w:eastAsia="仿宋_GB2312" w:cs="仿宋_GB2312"/>
          <w:color w:val="auto"/>
          <w:lang w:eastAsia="zh-CN"/>
        </w:rPr>
        <w:t>与四川姊哲签订的《购销合同》《经营销售及服务记录》《出库单》《员工物料发放记录表》，说明涉案批次产品销售、价格情况；</w:t>
      </w:r>
    </w:p>
    <w:p>
      <w:pPr>
        <w:pStyle w:val="5"/>
        <w:keepNext w:val="0"/>
        <w:keepLines w:val="0"/>
        <w:pageBreakBefore w:val="0"/>
        <w:widowControl w:val="0"/>
        <w:tabs>
          <w:tab w:val="left" w:pos="8920"/>
        </w:tabs>
        <w:kinsoku/>
        <w:wordWrap/>
        <w:overflowPunct/>
        <w:topLinePunct w:val="0"/>
        <w:autoSpaceDE/>
        <w:autoSpaceDN/>
        <w:bidi w:val="0"/>
        <w:spacing w:line="560" w:lineRule="exact"/>
        <w:ind w:left="0" w:leftChars="0" w:firstLine="640" w:firstLineChars="200"/>
        <w:jc w:val="both"/>
        <w:textAlignment w:val="auto"/>
        <w:rPr>
          <w:rFonts w:hint="eastAsia" w:ascii="仿宋_GB2312" w:hAnsi="仿宋_GB2312" w:eastAsia="仿宋_GB2312" w:cs="仿宋_GB2312"/>
          <w:color w:val="auto"/>
          <w:lang w:eastAsia="zh-CN"/>
        </w:rPr>
      </w:pPr>
      <w:r>
        <w:rPr>
          <w:rFonts w:hint="eastAsia" w:ascii="仿宋_GB2312" w:hAnsi="仿宋_GB2312" w:eastAsia="仿宋_GB2312" w:cs="仿宋_GB2312"/>
          <w:color w:val="auto"/>
          <w:lang w:val="en-US" w:eastAsia="zh-CN"/>
        </w:rPr>
        <w:t>9.</w:t>
      </w:r>
      <w:r>
        <w:rPr>
          <w:rFonts w:hint="eastAsia" w:ascii="仿宋_GB2312" w:hAnsi="仿宋_GB2312" w:eastAsia="仿宋_GB2312" w:cs="仿宋_GB2312"/>
          <w:color w:val="auto"/>
          <w:lang w:eastAsia="zh-CN"/>
        </w:rPr>
        <w:t>四川姊哲《营业执照》《第二类医疗器械经营备案凭证》（川绵食药监械经营备20</w:t>
      </w:r>
      <w:r>
        <w:rPr>
          <w:rFonts w:hint="eastAsia" w:ascii="仿宋_GB2312" w:hAnsi="仿宋_GB2312" w:eastAsia="仿宋_GB2312" w:cs="仿宋_GB2312"/>
          <w:color w:val="auto"/>
          <w:lang w:val="en-US" w:eastAsia="zh-CN"/>
        </w:rPr>
        <w:t>210262</w:t>
      </w:r>
      <w:r>
        <w:rPr>
          <w:rFonts w:hint="eastAsia" w:ascii="仿宋_GB2312" w:hAnsi="仿宋_GB2312" w:eastAsia="仿宋_GB2312" w:cs="仿宋_GB2312"/>
          <w:color w:val="auto"/>
          <w:lang w:eastAsia="zh-CN"/>
        </w:rPr>
        <w:t>号）等资料复印件各1份，证明购买方资质情况；</w:t>
      </w:r>
    </w:p>
    <w:p>
      <w:pPr>
        <w:pStyle w:val="5"/>
        <w:keepNext w:val="0"/>
        <w:keepLines w:val="0"/>
        <w:pageBreakBefore w:val="0"/>
        <w:widowControl w:val="0"/>
        <w:tabs>
          <w:tab w:val="left" w:pos="8920"/>
        </w:tabs>
        <w:kinsoku/>
        <w:wordWrap/>
        <w:overflowPunct/>
        <w:topLinePunct w:val="0"/>
        <w:autoSpaceDE/>
        <w:autoSpaceDN/>
        <w:bidi w:val="0"/>
        <w:spacing w:line="560" w:lineRule="exact"/>
        <w:ind w:left="0" w:leftChars="0" w:firstLine="640" w:firstLineChars="200"/>
        <w:jc w:val="both"/>
        <w:textAlignment w:val="auto"/>
        <w:rPr>
          <w:rFonts w:ascii="仿宋_GB2312" w:hAnsi="仿宋_GB2312" w:eastAsia="仿宋_GB2312" w:cs="仿宋_GB2312"/>
          <w:color w:val="auto"/>
          <w:lang w:eastAsia="zh-CN"/>
        </w:rPr>
      </w:pPr>
      <w:r>
        <w:rPr>
          <w:rFonts w:hint="eastAsia" w:ascii="仿宋_GB2312" w:hAnsi="仿宋_GB2312" w:eastAsia="仿宋_GB2312" w:cs="仿宋_GB2312"/>
          <w:color w:val="auto"/>
          <w:lang w:val="en-US" w:eastAsia="zh-CN"/>
        </w:rPr>
        <w:t>10</w:t>
      </w:r>
      <w:r>
        <w:rPr>
          <w:rFonts w:hint="eastAsia" w:ascii="仿宋_GB2312" w:hAnsi="仿宋_GB2312" w:eastAsia="仿宋_GB2312" w:cs="仿宋_GB2312"/>
          <w:color w:val="auto"/>
          <w:lang w:eastAsia="zh-CN"/>
        </w:rPr>
        <w:t>.丹祚工贸的《产品召回通知》《入库单》《兴业银行网上受理单》复印件各</w:t>
      </w:r>
      <w:r>
        <w:rPr>
          <w:rFonts w:ascii="仿宋_GB2312" w:hAnsi="仿宋_GB2312" w:eastAsia="仿宋_GB2312" w:cs="仿宋_GB2312"/>
          <w:color w:val="auto"/>
          <w:lang w:eastAsia="zh-CN"/>
        </w:rPr>
        <w:t>1</w:t>
      </w:r>
      <w:r>
        <w:rPr>
          <w:rFonts w:hint="eastAsia" w:ascii="仿宋_GB2312" w:hAnsi="仿宋_GB2312" w:eastAsia="仿宋_GB2312" w:cs="仿宋_GB2312"/>
          <w:color w:val="auto"/>
          <w:lang w:eastAsia="zh-CN"/>
        </w:rPr>
        <w:t>份，召回产品快递包装照片</w:t>
      </w:r>
      <w:r>
        <w:rPr>
          <w:rFonts w:hint="eastAsia" w:ascii="仿宋_GB2312" w:hAnsi="仿宋_GB2312" w:eastAsia="仿宋_GB2312" w:cs="仿宋_GB2312"/>
          <w:color w:val="auto"/>
          <w:lang w:val="en-US" w:eastAsia="zh-CN"/>
        </w:rPr>
        <w:t>2张</w:t>
      </w:r>
      <w:r>
        <w:rPr>
          <w:rFonts w:hint="eastAsia" w:ascii="仿宋_GB2312" w:hAnsi="仿宋_GB2312" w:eastAsia="仿宋_GB2312" w:cs="仿宋_GB2312"/>
          <w:color w:val="auto"/>
          <w:lang w:eastAsia="zh-CN"/>
        </w:rPr>
        <w:t>、证据提取单</w:t>
      </w:r>
      <w:r>
        <w:rPr>
          <w:rFonts w:hint="eastAsia" w:ascii="仿宋_GB2312" w:hAnsi="仿宋_GB2312" w:eastAsia="仿宋_GB2312" w:cs="仿宋_GB2312"/>
          <w:color w:val="auto"/>
          <w:lang w:val="en-US" w:eastAsia="zh-CN"/>
        </w:rPr>
        <w:t>3张，</w:t>
      </w:r>
      <w:r>
        <w:rPr>
          <w:rFonts w:hint="eastAsia" w:ascii="仿宋_GB2312" w:hAnsi="仿宋_GB2312" w:eastAsia="仿宋_GB2312" w:cs="仿宋_GB2312"/>
          <w:color w:val="auto"/>
          <w:lang w:eastAsia="zh-CN"/>
        </w:rPr>
        <w:t>说明涉案批次产品风险控制措施及召回情况；</w:t>
      </w:r>
    </w:p>
    <w:p>
      <w:pPr>
        <w:pStyle w:val="5"/>
        <w:keepNext w:val="0"/>
        <w:keepLines w:val="0"/>
        <w:pageBreakBefore w:val="0"/>
        <w:widowControl w:val="0"/>
        <w:tabs>
          <w:tab w:val="left" w:pos="8920"/>
        </w:tabs>
        <w:kinsoku/>
        <w:wordWrap/>
        <w:overflowPunct/>
        <w:topLinePunct w:val="0"/>
        <w:autoSpaceDE/>
        <w:autoSpaceDN/>
        <w:bidi w:val="0"/>
        <w:spacing w:line="560" w:lineRule="exact"/>
        <w:ind w:left="0" w:leftChars="0" w:firstLine="640" w:firstLineChars="200"/>
        <w:jc w:val="both"/>
        <w:textAlignment w:val="auto"/>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11.查询丹祚工贸在国家企业信用公示系统及信用中国上的行政处罚信息图片2张，说明丹祚工贸的过往行政处罚情况；</w:t>
      </w:r>
    </w:p>
    <w:p>
      <w:pPr>
        <w:pStyle w:val="5"/>
        <w:keepNext w:val="0"/>
        <w:keepLines w:val="0"/>
        <w:pageBreakBefore w:val="0"/>
        <w:widowControl w:val="0"/>
        <w:tabs>
          <w:tab w:val="left" w:pos="8920"/>
        </w:tabs>
        <w:kinsoku/>
        <w:wordWrap/>
        <w:overflowPunct/>
        <w:topLinePunct w:val="0"/>
        <w:autoSpaceDE/>
        <w:autoSpaceDN/>
        <w:bidi w:val="0"/>
        <w:spacing w:line="560" w:lineRule="exact"/>
        <w:ind w:left="0" w:leftChars="0" w:firstLine="640" w:firstLineChars="200"/>
        <w:jc w:val="both"/>
        <w:textAlignment w:val="auto"/>
        <w:rPr>
          <w:rFonts w:ascii="仿宋_GB2312" w:hAnsi="仿宋_GB2312" w:eastAsia="仿宋_GB2312" w:cs="仿宋_GB2312"/>
          <w:color w:val="auto"/>
          <w:lang w:eastAsia="zh-CN"/>
        </w:rPr>
      </w:pPr>
      <w:r>
        <w:rPr>
          <w:rFonts w:hint="eastAsia" w:ascii="仿宋_GB2312" w:hAnsi="仿宋_GB2312" w:eastAsia="仿宋_GB2312" w:cs="仿宋_GB2312"/>
          <w:color w:val="auto"/>
          <w:lang w:eastAsia="zh-CN"/>
        </w:rPr>
        <w:t>1</w:t>
      </w:r>
      <w:r>
        <w:rPr>
          <w:rFonts w:hint="eastAsia" w:ascii="仿宋_GB2312" w:hAnsi="仿宋_GB2312" w:eastAsia="仿宋_GB2312" w:cs="仿宋_GB2312"/>
          <w:color w:val="auto"/>
          <w:lang w:val="en-US" w:eastAsia="zh-CN"/>
        </w:rPr>
        <w:t>2</w:t>
      </w:r>
      <w:r>
        <w:rPr>
          <w:rFonts w:hint="eastAsia" w:ascii="仿宋_GB2312" w:hAnsi="仿宋_GB2312" w:eastAsia="仿宋_GB2312" w:cs="仿宋_GB2312"/>
          <w:color w:val="auto"/>
          <w:lang w:eastAsia="zh-CN"/>
        </w:rPr>
        <w:t>.《现场笔录》</w:t>
      </w:r>
      <w:r>
        <w:rPr>
          <w:rFonts w:hint="eastAsia" w:ascii="仿宋_GB2312" w:hAnsi="仿宋_GB2312" w:eastAsia="仿宋_GB2312" w:cs="仿宋_GB2312"/>
          <w:color w:val="auto"/>
          <w:lang w:val="en-US" w:eastAsia="zh-CN"/>
        </w:rPr>
        <w:t>4</w:t>
      </w:r>
      <w:r>
        <w:rPr>
          <w:rFonts w:hint="eastAsia" w:ascii="仿宋_GB2312" w:hAnsi="仿宋_GB2312" w:eastAsia="仿宋_GB2312" w:cs="仿宋_GB2312"/>
          <w:color w:val="auto"/>
          <w:lang w:eastAsia="zh-CN"/>
        </w:rPr>
        <w:t>份（时间：202</w:t>
      </w:r>
      <w:r>
        <w:rPr>
          <w:rFonts w:hint="eastAsia" w:ascii="仿宋_GB2312" w:hAnsi="仿宋_GB2312" w:eastAsia="仿宋_GB2312" w:cs="仿宋_GB2312"/>
          <w:color w:val="auto"/>
          <w:lang w:val="en-US" w:eastAsia="zh-CN"/>
        </w:rPr>
        <w:t>4</w:t>
      </w:r>
      <w:r>
        <w:rPr>
          <w:rFonts w:hint="eastAsia" w:ascii="仿宋_GB2312" w:hAnsi="仿宋_GB2312" w:eastAsia="仿宋_GB2312" w:cs="仿宋_GB2312"/>
          <w:color w:val="auto"/>
          <w:lang w:eastAsia="zh-CN"/>
        </w:rPr>
        <w:t>年</w:t>
      </w:r>
      <w:r>
        <w:rPr>
          <w:rFonts w:hint="eastAsia" w:ascii="仿宋_GB2312" w:hAnsi="仿宋_GB2312" w:eastAsia="仿宋_GB2312" w:cs="仿宋_GB2312"/>
          <w:color w:val="auto"/>
          <w:lang w:val="en-US" w:eastAsia="zh-CN"/>
        </w:rPr>
        <w:t>1</w:t>
      </w:r>
      <w:r>
        <w:rPr>
          <w:rFonts w:hint="eastAsia" w:ascii="仿宋_GB2312" w:hAnsi="仿宋_GB2312" w:eastAsia="仿宋_GB2312" w:cs="仿宋_GB2312"/>
          <w:color w:val="auto"/>
          <w:lang w:eastAsia="zh-CN"/>
        </w:rPr>
        <w:t>月</w:t>
      </w:r>
      <w:r>
        <w:rPr>
          <w:rFonts w:hint="eastAsia" w:ascii="仿宋_GB2312" w:hAnsi="仿宋_GB2312" w:eastAsia="仿宋_GB2312" w:cs="仿宋_GB2312"/>
          <w:color w:val="auto"/>
          <w:lang w:val="en-US" w:eastAsia="zh-CN"/>
        </w:rPr>
        <w:t>3</w:t>
      </w:r>
      <w:r>
        <w:rPr>
          <w:rFonts w:hint="eastAsia" w:ascii="仿宋_GB2312" w:hAnsi="仿宋_GB2312" w:eastAsia="仿宋_GB2312" w:cs="仿宋_GB2312"/>
          <w:color w:val="auto"/>
          <w:lang w:eastAsia="zh-CN"/>
        </w:rPr>
        <w:t>日、2</w:t>
      </w:r>
      <w:r>
        <w:rPr>
          <w:rFonts w:ascii="仿宋_GB2312" w:hAnsi="仿宋_GB2312" w:eastAsia="仿宋_GB2312" w:cs="仿宋_GB2312"/>
          <w:color w:val="auto"/>
          <w:lang w:eastAsia="zh-CN"/>
        </w:rPr>
        <w:t>02</w:t>
      </w:r>
      <w:r>
        <w:rPr>
          <w:rFonts w:hint="eastAsia" w:ascii="仿宋_GB2312" w:hAnsi="仿宋_GB2312" w:eastAsia="仿宋_GB2312" w:cs="仿宋_GB2312"/>
          <w:color w:val="auto"/>
          <w:lang w:val="en-US" w:eastAsia="zh-CN"/>
        </w:rPr>
        <w:t>4</w:t>
      </w:r>
      <w:r>
        <w:rPr>
          <w:rFonts w:hint="eastAsia" w:ascii="仿宋_GB2312" w:hAnsi="仿宋_GB2312" w:eastAsia="仿宋_GB2312" w:cs="仿宋_GB2312"/>
          <w:color w:val="auto"/>
          <w:lang w:eastAsia="zh-CN"/>
        </w:rPr>
        <w:t>年</w:t>
      </w:r>
      <w:r>
        <w:rPr>
          <w:rFonts w:hint="eastAsia" w:ascii="仿宋_GB2312" w:hAnsi="仿宋_GB2312" w:eastAsia="仿宋_GB2312" w:cs="仿宋_GB2312"/>
          <w:color w:val="auto"/>
          <w:lang w:val="en-US" w:eastAsia="zh-CN"/>
        </w:rPr>
        <w:t>1</w:t>
      </w:r>
      <w:r>
        <w:rPr>
          <w:rFonts w:hint="eastAsia" w:ascii="仿宋_GB2312" w:hAnsi="仿宋_GB2312" w:eastAsia="仿宋_GB2312" w:cs="仿宋_GB2312"/>
          <w:color w:val="auto"/>
          <w:lang w:eastAsia="zh-CN"/>
        </w:rPr>
        <w:t>月</w:t>
      </w:r>
      <w:r>
        <w:rPr>
          <w:rFonts w:hint="eastAsia" w:ascii="仿宋_GB2312" w:hAnsi="仿宋_GB2312" w:eastAsia="仿宋_GB2312" w:cs="仿宋_GB2312"/>
          <w:color w:val="auto"/>
          <w:lang w:val="en-US" w:eastAsia="zh-CN"/>
        </w:rPr>
        <w:t>31</w:t>
      </w:r>
      <w:r>
        <w:rPr>
          <w:rFonts w:hint="eastAsia" w:ascii="仿宋_GB2312" w:hAnsi="仿宋_GB2312" w:eastAsia="仿宋_GB2312" w:cs="仿宋_GB2312"/>
          <w:color w:val="auto"/>
          <w:lang w:eastAsia="zh-CN"/>
        </w:rPr>
        <w:t>日各两份）、《实施行政强制措施决定书》《解除行政强制措施决定书》各</w:t>
      </w:r>
      <w:r>
        <w:rPr>
          <w:rFonts w:hint="eastAsia" w:ascii="仿宋_GB2312" w:hAnsi="仿宋_GB2312" w:eastAsia="仿宋_GB2312" w:cs="仿宋_GB2312"/>
          <w:color w:val="auto"/>
          <w:lang w:val="en-US" w:eastAsia="zh-CN"/>
        </w:rPr>
        <w:t>2份</w:t>
      </w:r>
      <w:r>
        <w:rPr>
          <w:rFonts w:hint="eastAsia" w:ascii="仿宋_GB2312" w:hAnsi="仿宋_GB2312" w:eastAsia="仿宋_GB2312" w:cs="仿宋_GB2312"/>
          <w:color w:val="auto"/>
          <w:lang w:eastAsia="zh-CN"/>
        </w:rPr>
        <w:t>、《送达回证》及《财物清单》各</w:t>
      </w:r>
      <w:r>
        <w:rPr>
          <w:rFonts w:hint="eastAsia" w:ascii="仿宋_GB2312" w:hAnsi="仿宋_GB2312" w:eastAsia="仿宋_GB2312" w:cs="仿宋_GB2312"/>
          <w:color w:val="auto"/>
          <w:lang w:val="en-US" w:eastAsia="zh-CN"/>
        </w:rPr>
        <w:t>2</w:t>
      </w:r>
      <w:r>
        <w:rPr>
          <w:rFonts w:hint="eastAsia" w:ascii="仿宋_GB2312" w:hAnsi="仿宋_GB2312" w:eastAsia="仿宋_GB2312" w:cs="仿宋_GB2312"/>
          <w:color w:val="auto"/>
          <w:lang w:eastAsia="zh-CN"/>
        </w:rPr>
        <w:t>份，证明现场核查、实施扣押及解除等情况；</w:t>
      </w:r>
    </w:p>
    <w:p>
      <w:pPr>
        <w:pStyle w:val="5"/>
        <w:keepNext w:val="0"/>
        <w:keepLines w:val="0"/>
        <w:pageBreakBefore w:val="0"/>
        <w:widowControl w:val="0"/>
        <w:tabs>
          <w:tab w:val="left" w:pos="8920"/>
        </w:tabs>
        <w:kinsoku/>
        <w:wordWrap/>
        <w:overflowPunct/>
        <w:topLinePunct w:val="0"/>
        <w:autoSpaceDE/>
        <w:autoSpaceDN/>
        <w:bidi w:val="0"/>
        <w:spacing w:line="560" w:lineRule="exact"/>
        <w:ind w:left="0" w:leftChars="0" w:firstLine="640" w:firstLineChars="200"/>
        <w:jc w:val="both"/>
        <w:textAlignment w:val="auto"/>
        <w:rPr>
          <w:rFonts w:hint="default" w:ascii="仿宋_GB2312" w:hAnsi="仿宋_GB2312" w:eastAsia="仿宋_GB2312" w:cs="仿宋_GB2312"/>
          <w:color w:val="auto"/>
          <w:lang w:val="en-US" w:eastAsia="zh-CN"/>
        </w:rPr>
      </w:pPr>
      <w:r>
        <w:rPr>
          <w:rFonts w:hint="eastAsia" w:ascii="仿宋_GB2312" w:hAnsi="仿宋_GB2312" w:eastAsia="仿宋_GB2312" w:cs="仿宋_GB2312"/>
          <w:color w:val="auto"/>
          <w:lang w:eastAsia="zh-CN"/>
        </w:rPr>
        <w:t>1</w:t>
      </w:r>
      <w:r>
        <w:rPr>
          <w:rFonts w:hint="eastAsia" w:ascii="仿宋_GB2312" w:hAnsi="仿宋_GB2312" w:eastAsia="仿宋_GB2312" w:cs="仿宋_GB2312"/>
          <w:color w:val="auto"/>
          <w:lang w:val="en-US" w:eastAsia="zh-CN"/>
        </w:rPr>
        <w:t>3</w:t>
      </w:r>
      <w:r>
        <w:rPr>
          <w:rFonts w:hint="eastAsia" w:ascii="仿宋_GB2312" w:hAnsi="仿宋_GB2312" w:eastAsia="仿宋_GB2312" w:cs="仿宋_GB2312"/>
          <w:color w:val="auto"/>
          <w:lang w:eastAsia="zh-CN"/>
        </w:rPr>
        <w:t>.吴</w:t>
      </w:r>
      <w:r>
        <w:rPr>
          <w:rFonts w:hint="eastAsia" w:ascii="仿宋_GB2312" w:hAnsi="仿宋_GB2312" w:eastAsia="仿宋_GB2312" w:cs="仿宋_GB2312"/>
          <w:color w:val="auto"/>
          <w:lang w:val="en-US" w:eastAsia="zh-CN"/>
        </w:rPr>
        <w:t>X</w:t>
      </w:r>
      <w:r>
        <w:rPr>
          <w:rFonts w:hint="eastAsia" w:ascii="仿宋_GB2312" w:hAnsi="仿宋_GB2312" w:eastAsia="仿宋_GB2312" w:cs="仿宋_GB2312"/>
          <w:color w:val="auto"/>
          <w:lang w:eastAsia="zh-CN"/>
        </w:rPr>
        <w:t>、林</w:t>
      </w:r>
      <w:r>
        <w:rPr>
          <w:rFonts w:hint="eastAsia" w:ascii="仿宋_GB2312" w:hAnsi="仿宋_GB2312" w:eastAsia="仿宋_GB2312" w:cs="仿宋_GB2312"/>
          <w:color w:val="auto"/>
          <w:lang w:val="en-US" w:eastAsia="zh-CN"/>
        </w:rPr>
        <w:t>XX</w:t>
      </w:r>
      <w:r>
        <w:rPr>
          <w:rFonts w:hint="eastAsia" w:ascii="仿宋_GB2312" w:hAnsi="仿宋_GB2312" w:eastAsia="仿宋_GB2312" w:cs="仿宋_GB2312"/>
          <w:color w:val="auto"/>
          <w:lang w:eastAsia="zh-CN"/>
        </w:rPr>
        <w:t>、庄</w:t>
      </w:r>
      <w:r>
        <w:rPr>
          <w:rFonts w:hint="eastAsia" w:ascii="仿宋_GB2312" w:hAnsi="仿宋_GB2312" w:eastAsia="仿宋_GB2312" w:cs="仿宋_GB2312"/>
          <w:color w:val="auto"/>
          <w:lang w:val="en-US" w:eastAsia="zh-CN"/>
        </w:rPr>
        <w:t>XX</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sz w:val="32"/>
          <w:szCs w:val="32"/>
          <w:lang w:val="en-US" w:eastAsia="zh-CN"/>
        </w:rPr>
        <w:t>陈XX</w:t>
      </w:r>
      <w:r>
        <w:rPr>
          <w:rFonts w:hint="eastAsia" w:ascii="仿宋_GB2312" w:hAnsi="仿宋_GB2312" w:eastAsia="仿宋_GB2312" w:cs="仿宋_GB2312"/>
          <w:color w:val="auto"/>
          <w:lang w:eastAsia="zh-CN"/>
        </w:rPr>
        <w:t>等</w:t>
      </w:r>
      <w:r>
        <w:rPr>
          <w:rFonts w:hint="eastAsia" w:ascii="仿宋_GB2312" w:hAnsi="仿宋_GB2312" w:eastAsia="仿宋_GB2312" w:cs="仿宋_GB2312"/>
          <w:color w:val="auto"/>
          <w:lang w:val="en-US" w:eastAsia="zh-CN"/>
        </w:rPr>
        <w:t>4</w:t>
      </w:r>
      <w:r>
        <w:rPr>
          <w:rFonts w:hint="eastAsia" w:ascii="仿宋_GB2312" w:hAnsi="仿宋_GB2312" w:eastAsia="仿宋_GB2312" w:cs="仿宋_GB2312"/>
          <w:color w:val="auto"/>
          <w:lang w:eastAsia="zh-CN"/>
        </w:rPr>
        <w:t>人的《询问笔录》（时间：202</w:t>
      </w:r>
      <w:r>
        <w:rPr>
          <w:rFonts w:hint="eastAsia" w:ascii="仿宋_GB2312" w:hAnsi="仿宋_GB2312" w:eastAsia="仿宋_GB2312" w:cs="仿宋_GB2312"/>
          <w:color w:val="auto"/>
          <w:lang w:val="en-US" w:eastAsia="zh-CN"/>
        </w:rPr>
        <w:t>4</w:t>
      </w:r>
      <w:r>
        <w:rPr>
          <w:rFonts w:hint="eastAsia" w:ascii="仿宋_GB2312" w:hAnsi="仿宋_GB2312" w:eastAsia="仿宋_GB2312" w:cs="仿宋_GB2312"/>
          <w:color w:val="auto"/>
          <w:lang w:eastAsia="zh-CN"/>
        </w:rPr>
        <w:t>年</w:t>
      </w:r>
      <w:r>
        <w:rPr>
          <w:rFonts w:hint="eastAsia" w:ascii="仿宋_GB2312" w:hAnsi="仿宋_GB2312" w:eastAsia="仿宋_GB2312" w:cs="仿宋_GB2312"/>
          <w:color w:val="auto"/>
          <w:lang w:val="en-US" w:eastAsia="zh-CN"/>
        </w:rPr>
        <w:t>3</w:t>
      </w:r>
      <w:r>
        <w:rPr>
          <w:rFonts w:hint="eastAsia" w:ascii="仿宋_GB2312" w:hAnsi="仿宋_GB2312" w:eastAsia="仿宋_GB2312" w:cs="仿宋_GB2312"/>
          <w:color w:val="auto"/>
          <w:lang w:eastAsia="zh-CN"/>
        </w:rPr>
        <w:t>月</w:t>
      </w:r>
      <w:r>
        <w:rPr>
          <w:rFonts w:hint="eastAsia" w:ascii="仿宋_GB2312" w:hAnsi="仿宋_GB2312" w:eastAsia="仿宋_GB2312" w:cs="仿宋_GB2312"/>
          <w:color w:val="auto"/>
          <w:lang w:val="en-US" w:eastAsia="zh-CN"/>
        </w:rPr>
        <w:t>4</w:t>
      </w:r>
      <w:r>
        <w:rPr>
          <w:rFonts w:hint="eastAsia" w:ascii="仿宋_GB2312" w:hAnsi="仿宋_GB2312" w:eastAsia="仿宋_GB2312" w:cs="仿宋_GB2312"/>
          <w:color w:val="auto"/>
          <w:lang w:eastAsia="zh-CN"/>
        </w:rPr>
        <w:t>日、</w:t>
      </w:r>
      <w:r>
        <w:rPr>
          <w:rFonts w:hint="eastAsia" w:ascii="仿宋_GB2312" w:hAnsi="仿宋_GB2312" w:eastAsia="仿宋_GB2312" w:cs="仿宋_GB2312"/>
          <w:color w:val="auto"/>
          <w:lang w:val="en-US" w:eastAsia="zh-CN"/>
        </w:rPr>
        <w:t>3月20日</w:t>
      </w:r>
      <w:r>
        <w:rPr>
          <w:rFonts w:hint="eastAsia" w:ascii="仿宋_GB2312" w:hAnsi="仿宋_GB2312" w:eastAsia="仿宋_GB2312" w:cs="仿宋_GB2312"/>
          <w:color w:val="auto"/>
          <w:lang w:eastAsia="zh-CN"/>
        </w:rPr>
        <w:t>），说明调查询问的情况。</w:t>
      </w:r>
    </w:p>
    <w:p>
      <w:pPr>
        <w:pStyle w:val="5"/>
        <w:keepNext w:val="0"/>
        <w:keepLines w:val="0"/>
        <w:pageBreakBefore w:val="0"/>
        <w:widowControl w:val="0"/>
        <w:tabs>
          <w:tab w:val="left" w:pos="8920"/>
        </w:tabs>
        <w:kinsoku/>
        <w:wordWrap/>
        <w:overflowPunct/>
        <w:topLinePunct w:val="0"/>
        <w:autoSpaceDE/>
        <w:autoSpaceDN/>
        <w:bidi w:val="0"/>
        <w:spacing w:line="560" w:lineRule="exact"/>
        <w:ind w:left="0" w:firstLine="640" w:firstLineChars="200"/>
        <w:jc w:val="both"/>
        <w:textAlignment w:val="auto"/>
        <w:rPr>
          <w:rFonts w:hint="eastAsia" w:ascii="仿宋" w:hAnsi="仿宋" w:eastAsia="仿宋" w:cs="仿宋"/>
          <w:color w:val="auto"/>
          <w:lang w:eastAsia="zh-CN"/>
        </w:rPr>
      </w:pPr>
      <w:r>
        <w:rPr>
          <w:rFonts w:hint="eastAsia" w:ascii="仿宋" w:hAnsi="仿宋" w:eastAsia="仿宋" w:cs="仿宋"/>
          <w:color w:val="auto"/>
          <w:lang w:eastAsia="zh-CN"/>
        </w:rPr>
        <w:t>根据上述事实，我局认定</w:t>
      </w:r>
      <w:r>
        <w:rPr>
          <w:rFonts w:hint="eastAsia" w:ascii="仿宋" w:hAnsi="仿宋" w:eastAsia="仿宋" w:cs="仿宋"/>
          <w:color w:val="auto"/>
          <w:kern w:val="2"/>
          <w:sz w:val="32"/>
          <w:szCs w:val="32"/>
          <w:u w:val="none" w:color="auto"/>
          <w:lang w:val="en-US" w:eastAsia="zh-CN"/>
        </w:rPr>
        <w:t>丹祚工贸</w:t>
      </w:r>
      <w:r>
        <w:rPr>
          <w:rFonts w:hint="eastAsia" w:ascii="仿宋" w:hAnsi="仿宋" w:eastAsia="仿宋" w:cs="仿宋"/>
          <w:color w:val="auto"/>
          <w:lang w:eastAsia="zh-CN"/>
        </w:rPr>
        <w:t>违反了《医疗器械监督管理条例》</w:t>
      </w:r>
      <w:r>
        <w:rPr>
          <w:rFonts w:hint="eastAsia" w:ascii="仿宋_GB2312" w:hAnsi="仿宋_GB2312" w:eastAsia="仿宋_GB2312" w:cs="仿宋_GB2312"/>
          <w:b w:val="0"/>
          <w:bCs w:val="0"/>
          <w:color w:val="auto"/>
          <w:lang w:eastAsia="zh-CN"/>
        </w:rPr>
        <w:t>第十三条第一款、第三十二条第一款的规定，</w:t>
      </w:r>
      <w:r>
        <w:rPr>
          <w:rFonts w:hint="eastAsia" w:ascii="仿宋_GB2312" w:hAnsi="仿宋_GB2312" w:eastAsia="仿宋_GB2312" w:cs="仿宋_GB2312"/>
          <w:color w:val="auto"/>
          <w:lang w:eastAsia="zh-CN"/>
        </w:rPr>
        <w:t>构成未经许可生产第二类医疗器械的违法行为。</w:t>
      </w:r>
    </w:p>
    <w:p>
      <w:pPr>
        <w:pStyle w:val="5"/>
        <w:keepNext w:val="0"/>
        <w:keepLines w:val="0"/>
        <w:pageBreakBefore w:val="0"/>
        <w:widowControl w:val="0"/>
        <w:tabs>
          <w:tab w:val="left" w:pos="8964"/>
        </w:tabs>
        <w:kinsoku/>
        <w:wordWrap w:val="0"/>
        <w:overflowPunct/>
        <w:topLinePunct w:val="0"/>
        <w:autoSpaceDE/>
        <w:autoSpaceDN/>
        <w:bidi w:val="0"/>
        <w:spacing w:line="560" w:lineRule="exact"/>
        <w:ind w:left="0" w:firstLine="632" w:firstLineChars="200"/>
        <w:jc w:val="both"/>
        <w:textAlignment w:val="auto"/>
        <w:rPr>
          <w:rFonts w:hint="eastAsia" w:ascii="仿宋" w:hAnsi="宋体" w:eastAsia="仿宋" w:cs="仿宋"/>
          <w:color w:val="auto"/>
          <w:w w:val="99"/>
          <w:lang w:val="en-US" w:eastAsia="zh-CN"/>
        </w:rPr>
      </w:pPr>
      <w:r>
        <w:rPr>
          <w:rFonts w:hint="eastAsia" w:ascii="仿宋" w:hAnsi="宋体" w:eastAsia="仿宋" w:cs="仿宋"/>
          <w:color w:val="auto"/>
          <w:w w:val="99"/>
          <w:lang w:val="en-US" w:eastAsia="zh-CN"/>
        </w:rPr>
        <w:t>我局于202</w:t>
      </w:r>
      <w:r>
        <w:rPr>
          <w:rFonts w:hint="eastAsia" w:ascii="仿宋" w:eastAsia="仿宋" w:cs="仿宋"/>
          <w:color w:val="auto"/>
          <w:w w:val="99"/>
          <w:lang w:val="en-US" w:eastAsia="zh-CN"/>
        </w:rPr>
        <w:t>4</w:t>
      </w:r>
      <w:r>
        <w:rPr>
          <w:rFonts w:hint="eastAsia" w:ascii="仿宋" w:hAnsi="宋体" w:eastAsia="仿宋" w:cs="仿宋"/>
          <w:color w:val="auto"/>
          <w:w w:val="99"/>
          <w:lang w:val="en-US" w:eastAsia="zh-CN"/>
        </w:rPr>
        <w:t>年</w:t>
      </w:r>
      <w:r>
        <w:rPr>
          <w:rFonts w:hint="eastAsia" w:ascii="仿宋" w:eastAsia="仿宋" w:cs="仿宋"/>
          <w:color w:val="auto"/>
          <w:w w:val="99"/>
          <w:lang w:val="en-US" w:eastAsia="zh-CN"/>
        </w:rPr>
        <w:t>3</w:t>
      </w:r>
      <w:r>
        <w:rPr>
          <w:rFonts w:hint="eastAsia" w:ascii="仿宋" w:hAnsi="宋体" w:eastAsia="仿宋" w:cs="仿宋"/>
          <w:color w:val="auto"/>
          <w:w w:val="99"/>
          <w:lang w:val="en-US" w:eastAsia="zh-CN"/>
        </w:rPr>
        <w:t>月</w:t>
      </w:r>
      <w:r>
        <w:rPr>
          <w:rFonts w:hint="eastAsia" w:ascii="仿宋" w:eastAsia="仿宋" w:cs="仿宋"/>
          <w:color w:val="auto"/>
          <w:w w:val="99"/>
          <w:lang w:val="en-US" w:eastAsia="zh-CN"/>
        </w:rPr>
        <w:t>27</w:t>
      </w:r>
      <w:r>
        <w:rPr>
          <w:rFonts w:hint="eastAsia" w:ascii="仿宋" w:hAnsi="宋体" w:eastAsia="仿宋" w:cs="仿宋"/>
          <w:color w:val="auto"/>
          <w:w w:val="99"/>
          <w:lang w:val="en-US" w:eastAsia="zh-CN"/>
        </w:rPr>
        <w:t>日向</w:t>
      </w:r>
      <w:r>
        <w:rPr>
          <w:rFonts w:hint="eastAsia" w:ascii="仿宋" w:hAnsi="仿宋" w:eastAsia="仿宋" w:cs="仿宋"/>
          <w:color w:val="auto"/>
          <w:kern w:val="2"/>
          <w:sz w:val="32"/>
          <w:szCs w:val="32"/>
          <w:u w:val="none" w:color="auto"/>
          <w:lang w:val="en-US" w:eastAsia="zh-CN"/>
        </w:rPr>
        <w:t>丹祚工贸</w:t>
      </w:r>
      <w:r>
        <w:rPr>
          <w:rFonts w:hint="eastAsia" w:ascii="仿宋" w:hAnsi="宋体" w:eastAsia="仿宋" w:cs="仿宋"/>
          <w:color w:val="auto"/>
          <w:w w:val="99"/>
          <w:lang w:val="en-US" w:eastAsia="zh-CN"/>
        </w:rPr>
        <w:t>直接送达了《行政处罚告知书》（闽药监厦稽办〔2023〕3-0</w:t>
      </w:r>
      <w:r>
        <w:rPr>
          <w:rFonts w:hint="eastAsia" w:ascii="仿宋" w:eastAsia="仿宋" w:cs="仿宋"/>
          <w:color w:val="auto"/>
          <w:w w:val="99"/>
          <w:lang w:val="en-US" w:eastAsia="zh-CN"/>
        </w:rPr>
        <w:t>2</w:t>
      </w:r>
      <w:r>
        <w:rPr>
          <w:rFonts w:hint="eastAsia" w:ascii="仿宋" w:hAnsi="宋体" w:eastAsia="仿宋" w:cs="仿宋"/>
          <w:color w:val="auto"/>
          <w:w w:val="99"/>
          <w:lang w:val="en-US" w:eastAsia="zh-CN"/>
        </w:rPr>
        <w:t>号），告知当事人拟作出行政处罚内容以及事实、理由、依据，并告知其依法享有陈述、申辩和要求听证的权利。在法定期限内，当事人未向我局提出陈述、申辩和听证要求。</w:t>
      </w:r>
    </w:p>
    <w:p>
      <w:pPr>
        <w:pStyle w:val="5"/>
        <w:keepNext w:val="0"/>
        <w:keepLines w:val="0"/>
        <w:pageBreakBefore w:val="0"/>
        <w:widowControl w:val="0"/>
        <w:numPr>
          <w:ilvl w:val="0"/>
          <w:numId w:val="0"/>
        </w:numPr>
        <w:tabs>
          <w:tab w:val="left" w:pos="8964"/>
        </w:tabs>
        <w:kinsoku/>
        <w:wordWrap w:val="0"/>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color w:val="auto"/>
          <w:lang w:val="en-US" w:eastAsia="zh-CN"/>
        </w:rPr>
      </w:pPr>
      <w:bookmarkStart w:id="0" w:name="_Hlk18882991"/>
      <w:r>
        <w:rPr>
          <w:rFonts w:hint="eastAsia" w:ascii="仿宋" w:hAnsi="仿宋" w:eastAsia="仿宋" w:cs="仿宋"/>
          <w:color w:val="auto"/>
          <w:lang w:val="en-US" w:eastAsia="zh-CN"/>
        </w:rPr>
        <w:t>鉴于涉案产品的规格型号均为小儿型，</w:t>
      </w:r>
      <w:r>
        <w:rPr>
          <w:rFonts w:hint="eastAsia" w:ascii="仿宋_GB2312" w:hAnsi="仿宋_GB2312" w:eastAsia="仿宋_GB2312" w:cs="仿宋_GB2312"/>
          <w:color w:val="auto"/>
          <w:lang w:eastAsia="zh-CN"/>
        </w:rPr>
        <w:t>根据</w:t>
      </w:r>
      <w:r>
        <w:rPr>
          <w:rFonts w:hint="eastAsia" w:ascii="仿宋_GB2312" w:hAnsi="仿宋_GB2312" w:eastAsia="仿宋_GB2312" w:cs="仿宋_GB2312"/>
          <w:color w:val="auto"/>
          <w:lang w:val="en-US" w:eastAsia="zh-CN"/>
        </w:rPr>
        <w:t>《福建省药品监管行政处罚裁量权适用实施细则（试行）》</w:t>
      </w:r>
      <w:r>
        <w:rPr>
          <w:rFonts w:hint="eastAsia" w:ascii="仿宋_GB2312" w:hAnsi="仿宋_GB2312" w:eastAsia="仿宋_GB2312" w:cs="仿宋_GB2312"/>
          <w:color w:val="auto"/>
          <w:lang w:eastAsia="zh-CN"/>
        </w:rPr>
        <w:t>第十五条第一款第二项，应当依法从重行政处罚；但在调查阶段，</w:t>
      </w:r>
      <w:r>
        <w:rPr>
          <w:rFonts w:hint="eastAsia" w:ascii="仿宋" w:hAnsi="仿宋" w:eastAsia="仿宋" w:cs="仿宋"/>
          <w:b w:val="0"/>
          <w:bCs w:val="0"/>
          <w:color w:val="auto"/>
          <w:sz w:val="32"/>
          <w:szCs w:val="32"/>
          <w:u w:val="none" w:color="auto"/>
          <w:lang w:val="en-US" w:eastAsia="zh-CN"/>
        </w:rPr>
        <w:t>当事人积极配合案件调查，主动减轻危害后果，</w:t>
      </w:r>
      <w:r>
        <w:rPr>
          <w:rFonts w:hint="eastAsia" w:ascii="仿宋" w:hAnsi="仿宋" w:eastAsia="仿宋" w:cs="仿宋"/>
          <w:color w:val="auto"/>
          <w:lang w:val="en-US" w:eastAsia="zh-CN"/>
        </w:rPr>
        <w:t>符合《福建省药品监管行政处罚裁量权适用实施细则（试行）》第十三条第一项、第十四条第一项，可以从轻处罚</w:t>
      </w:r>
      <w:r>
        <w:rPr>
          <w:rFonts w:hint="eastAsia" w:ascii="仿宋_GB2312" w:hAnsi="仿宋_GB2312" w:eastAsia="仿宋_GB2312" w:cs="仿宋_GB2312"/>
          <w:color w:val="auto"/>
          <w:lang w:val="en-US" w:eastAsia="zh-CN"/>
        </w:rPr>
        <w:t>；且当事人系初次违法，符合《福建省药品监管行政处罚裁量权适用实施细则（试行）》第十四条第四项的规定，酌情从轻处罚。综上，当事人即存在从重情形又有从轻情形，</w:t>
      </w:r>
      <w:r>
        <w:rPr>
          <w:rFonts w:hint="eastAsia" w:ascii="仿宋" w:hAnsi="仿宋" w:eastAsia="仿宋" w:cs="仿宋"/>
          <w:color w:val="auto"/>
          <w:lang w:val="en-US" w:eastAsia="zh-CN"/>
        </w:rPr>
        <w:t>决定对当事人未经许可生产第二类医疗器械雾化器的违法行为按一般等级量罚（8万-10万，不含本级），即罚款81000元整。</w:t>
      </w:r>
    </w:p>
    <w:p>
      <w:pPr>
        <w:pStyle w:val="5"/>
        <w:keepNext w:val="0"/>
        <w:keepLines w:val="0"/>
        <w:pageBreakBefore w:val="0"/>
        <w:widowControl w:val="0"/>
        <w:tabs>
          <w:tab w:val="left" w:pos="8920"/>
        </w:tabs>
        <w:kinsoku/>
        <w:wordWrap w:val="0"/>
        <w:overflowPunct/>
        <w:topLinePunct w:val="0"/>
        <w:autoSpaceDE/>
        <w:autoSpaceDN/>
        <w:bidi w:val="0"/>
        <w:adjustRightInd/>
        <w:snapToGrid/>
        <w:spacing w:line="560" w:lineRule="exact"/>
        <w:ind w:left="0" w:firstLine="640" w:firstLineChars="200"/>
        <w:jc w:val="both"/>
        <w:textAlignment w:val="auto"/>
        <w:rPr>
          <w:rFonts w:hint="eastAsia" w:ascii="仿宋" w:hAnsi="仿宋" w:eastAsia="仿宋" w:cs="仿宋"/>
          <w:color w:val="auto"/>
          <w:lang w:val="en-US" w:eastAsia="zh-CN"/>
        </w:rPr>
      </w:pPr>
      <w:r>
        <w:rPr>
          <w:rFonts w:hint="eastAsia" w:ascii="仿宋_GB2312" w:hAnsi="仿宋_GB2312" w:eastAsia="仿宋_GB2312" w:cs="仿宋_GB2312"/>
          <w:color w:val="auto"/>
          <w:lang w:val="en-US" w:eastAsia="zh-CN"/>
        </w:rPr>
        <w:t>依据《行政处罚法》第二十八条第一款，《医疗器械监督管理条例》第八十一条第一款第一项、第二项，《福建省药品监管行政处罚裁量权适用实施细则（试行）》第十三条第一</w:t>
      </w:r>
      <w:r>
        <w:rPr>
          <w:rFonts w:hint="eastAsia" w:ascii="仿宋_GB2312" w:hAnsi="仿宋_GB2312" w:eastAsia="仿宋_GB2312" w:cs="仿宋_GB2312"/>
          <w:color w:val="auto"/>
          <w:lang w:eastAsia="zh-CN"/>
        </w:rPr>
        <w:t>项</w:t>
      </w:r>
      <w:r>
        <w:rPr>
          <w:rFonts w:hint="eastAsia" w:ascii="仿宋_GB2312" w:hAnsi="仿宋_GB2312" w:eastAsia="仿宋_GB2312" w:cs="仿宋_GB2312"/>
          <w:color w:val="auto"/>
          <w:lang w:val="en-US" w:eastAsia="zh-CN"/>
        </w:rPr>
        <w:t>、第十四条第一款第四项及</w:t>
      </w:r>
      <w:r>
        <w:rPr>
          <w:rFonts w:hint="eastAsia" w:ascii="仿宋_GB2312" w:hAnsi="仿宋_GB2312" w:eastAsia="仿宋_GB2312" w:cs="仿宋_GB2312"/>
          <w:color w:val="auto"/>
          <w:lang w:eastAsia="zh-CN"/>
        </w:rPr>
        <w:t>第十五条第一款第二项</w:t>
      </w:r>
      <w:r>
        <w:rPr>
          <w:rFonts w:hint="eastAsia" w:ascii="仿宋_GB2312" w:hAnsi="仿宋_GB2312" w:eastAsia="仿宋_GB2312" w:cs="仿宋_GB2312"/>
          <w:color w:val="auto"/>
          <w:lang w:val="en-US" w:eastAsia="zh-CN"/>
        </w:rPr>
        <w:t>的规定，</w:t>
      </w:r>
      <w:r>
        <w:rPr>
          <w:rFonts w:hint="eastAsia" w:ascii="仿宋" w:hAnsi="仿宋" w:eastAsia="仿宋" w:cs="仿宋"/>
          <w:color w:val="auto"/>
          <w:lang w:val="en-US" w:eastAsia="zh-CN"/>
        </w:rPr>
        <w:t>决定对当事人未经许可生产第二类医疗器械雾化器的违法行为给予如下处理：</w:t>
      </w:r>
    </w:p>
    <w:p>
      <w:pPr>
        <w:pStyle w:val="5"/>
        <w:keepNext w:val="0"/>
        <w:keepLines w:val="0"/>
        <w:pageBreakBefore w:val="0"/>
        <w:widowControl w:val="0"/>
        <w:tabs>
          <w:tab w:val="left" w:pos="8920"/>
        </w:tabs>
        <w:kinsoku/>
        <w:wordWrap/>
        <w:overflowPunct/>
        <w:topLinePunct w:val="0"/>
        <w:autoSpaceDE/>
        <w:autoSpaceDN/>
        <w:bidi w:val="0"/>
        <w:adjustRightInd/>
        <w:snapToGrid/>
        <w:spacing w:line="560" w:lineRule="exact"/>
        <w:ind w:left="0" w:firstLine="640" w:firstLineChars="200"/>
        <w:jc w:val="both"/>
        <w:textAlignment w:val="auto"/>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1.责令改正；</w:t>
      </w:r>
    </w:p>
    <w:p>
      <w:pPr>
        <w:pStyle w:val="5"/>
        <w:keepNext w:val="0"/>
        <w:keepLines w:val="0"/>
        <w:pageBreakBefore w:val="0"/>
        <w:widowControl w:val="0"/>
        <w:tabs>
          <w:tab w:val="left" w:pos="8920"/>
        </w:tabs>
        <w:kinsoku/>
        <w:wordWrap/>
        <w:overflowPunct/>
        <w:topLinePunct w:val="0"/>
        <w:autoSpaceDE/>
        <w:autoSpaceDN/>
        <w:bidi w:val="0"/>
        <w:adjustRightInd/>
        <w:snapToGrid/>
        <w:spacing w:line="560" w:lineRule="exact"/>
        <w:ind w:left="0" w:firstLine="640" w:firstLineChars="200"/>
        <w:jc w:val="both"/>
        <w:textAlignment w:val="auto"/>
        <w:rPr>
          <w:rFonts w:hint="default"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2.没收涉案批号为2023330A的雾化器131套；</w:t>
      </w:r>
    </w:p>
    <w:p>
      <w:pPr>
        <w:pStyle w:val="5"/>
        <w:keepNext w:val="0"/>
        <w:keepLines w:val="0"/>
        <w:pageBreakBefore w:val="0"/>
        <w:widowControl w:val="0"/>
        <w:tabs>
          <w:tab w:val="left" w:pos="8920"/>
        </w:tabs>
        <w:kinsoku/>
        <w:wordWrap/>
        <w:overflowPunct/>
        <w:topLinePunct w:val="0"/>
        <w:autoSpaceDE/>
        <w:autoSpaceDN/>
        <w:bidi w:val="0"/>
        <w:adjustRightInd/>
        <w:snapToGrid/>
        <w:spacing w:line="560" w:lineRule="exact"/>
        <w:ind w:left="0" w:firstLine="640" w:firstLineChars="200"/>
        <w:jc w:val="both"/>
        <w:textAlignment w:val="auto"/>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3.罚款81000元（捌万壹仟元）。</w:t>
      </w:r>
    </w:p>
    <w:p>
      <w:pPr>
        <w:pStyle w:val="5"/>
        <w:keepNext w:val="0"/>
        <w:keepLines w:val="0"/>
        <w:pageBreakBefore w:val="0"/>
        <w:widowControl w:val="0"/>
        <w:tabs>
          <w:tab w:val="left" w:pos="8920"/>
        </w:tabs>
        <w:kinsoku/>
        <w:wordWrap/>
        <w:overflowPunct/>
        <w:topLinePunct w:val="0"/>
        <w:autoSpaceDE/>
        <w:autoSpaceDN/>
        <w:bidi w:val="0"/>
        <w:adjustRightInd/>
        <w:snapToGrid/>
        <w:spacing w:line="560" w:lineRule="exact"/>
        <w:ind w:left="0" w:firstLine="640" w:firstLineChars="200"/>
        <w:jc w:val="both"/>
        <w:textAlignment w:val="auto"/>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上述罚没款合计81000元（捌万壹仟元）。</w:t>
      </w:r>
    </w:p>
    <w:bookmarkEnd w:id="0"/>
    <w:p>
      <w:pPr>
        <w:pStyle w:val="5"/>
        <w:keepNext w:val="0"/>
        <w:keepLines w:val="0"/>
        <w:pageBreakBefore w:val="0"/>
        <w:widowControl w:val="0"/>
        <w:tabs>
          <w:tab w:val="left" w:pos="8920"/>
        </w:tabs>
        <w:kinsoku/>
        <w:wordWrap w:val="0"/>
        <w:overflowPunct/>
        <w:topLinePunct w:val="0"/>
        <w:autoSpaceDE/>
        <w:autoSpaceDN/>
        <w:bidi w:val="0"/>
        <w:adjustRightInd/>
        <w:snapToGrid/>
        <w:spacing w:line="560" w:lineRule="exact"/>
        <w:ind w:left="0" w:firstLine="640" w:firstLineChars="200"/>
        <w:jc w:val="both"/>
        <w:textAlignment w:val="auto"/>
        <w:rPr>
          <w:rFonts w:hint="eastAsia" w:ascii="仿宋" w:hAnsi="仿宋" w:eastAsia="仿宋" w:cs="仿宋"/>
          <w:color w:val="auto"/>
          <w:lang w:val="en-US" w:eastAsia="zh-CN"/>
        </w:rPr>
      </w:pPr>
      <w:r>
        <w:rPr>
          <w:rFonts w:hint="eastAsia" w:ascii="仿宋" w:hAnsi="仿宋" w:eastAsia="仿宋" w:cs="仿宋"/>
          <w:color w:val="auto"/>
          <w:lang w:val="en-US" w:eastAsia="zh-CN"/>
        </w:rPr>
        <w:t xml:space="preserve">当事人应自接到本行政处罚决定之日起15日内缴纳上述罚款。根据我局厦门药品稽查办开具的行政处罚缴款通知书，当事人自行选择缴款方式。逾期不缴纳罚款的，依据《行政处罚法》第七十二条的规定，我局将每日按罚款数额的百分之三加处罚款，并依法申请人民法院强制执行。 </w:t>
      </w:r>
    </w:p>
    <w:p>
      <w:pPr>
        <w:pStyle w:val="5"/>
        <w:keepNext w:val="0"/>
        <w:keepLines w:val="0"/>
        <w:pageBreakBefore w:val="0"/>
        <w:widowControl w:val="0"/>
        <w:tabs>
          <w:tab w:val="left" w:pos="8920"/>
        </w:tabs>
        <w:kinsoku/>
        <w:wordWrap w:val="0"/>
        <w:overflowPunct/>
        <w:topLinePunct w:val="0"/>
        <w:autoSpaceDE/>
        <w:autoSpaceDN/>
        <w:bidi w:val="0"/>
        <w:adjustRightInd/>
        <w:snapToGrid/>
        <w:spacing w:line="560" w:lineRule="exact"/>
        <w:ind w:left="0" w:firstLine="640" w:firstLineChars="200"/>
        <w:jc w:val="both"/>
        <w:textAlignment w:val="auto"/>
        <w:rPr>
          <w:rFonts w:hint="eastAsia" w:ascii="仿宋" w:hAnsi="宋体" w:eastAsia="仿宋" w:cs="仿宋"/>
          <w:color w:val="auto"/>
          <w:w w:val="99"/>
          <w:lang w:val="en-US" w:eastAsia="zh-CN"/>
        </w:rPr>
      </w:pPr>
      <w:r>
        <w:rPr>
          <w:rFonts w:hint="eastAsia" w:ascii="仿宋" w:hAnsi="仿宋" w:eastAsia="仿宋" w:cs="仿宋"/>
          <w:color w:val="auto"/>
          <w:lang w:val="en-US" w:eastAsia="zh-CN"/>
        </w:rPr>
        <w:t>当事人如不服本行政处罚决定，可以在收到本行政处罚决定书之日起六十日内向福建省人民政府申请行政复议，也可以在六个月内依法向福州市鼓楼区人民法院提起行政诉讼。申请行政复议或者提起行政诉讼期间，行政处罚不停止执行。</w:t>
      </w:r>
    </w:p>
    <w:p>
      <w:pPr>
        <w:pStyle w:val="5"/>
        <w:keepNext w:val="0"/>
        <w:keepLines w:val="0"/>
        <w:pageBreakBefore w:val="0"/>
        <w:widowControl w:val="0"/>
        <w:tabs>
          <w:tab w:val="left" w:pos="8964"/>
        </w:tabs>
        <w:kinsoku/>
        <w:wordWrap w:val="0"/>
        <w:overflowPunct/>
        <w:topLinePunct w:val="0"/>
        <w:autoSpaceDE/>
        <w:autoSpaceDN/>
        <w:bidi w:val="0"/>
        <w:spacing w:line="560" w:lineRule="exact"/>
        <w:ind w:left="0" w:leftChars="0" w:firstLine="0" w:firstLineChars="0"/>
        <w:jc w:val="both"/>
        <w:textAlignment w:val="auto"/>
        <w:rPr>
          <w:rFonts w:hint="eastAsia" w:ascii="仿宋" w:hAnsi="宋体" w:eastAsia="仿宋" w:cs="仿宋"/>
          <w:color w:val="auto"/>
          <w:w w:val="99"/>
          <w:lang w:val="en-US" w:eastAsia="zh-CN"/>
        </w:rPr>
      </w:pPr>
    </w:p>
    <w:p>
      <w:pPr>
        <w:pStyle w:val="5"/>
        <w:keepNext w:val="0"/>
        <w:keepLines w:val="0"/>
        <w:pageBreakBefore w:val="0"/>
        <w:widowControl w:val="0"/>
        <w:tabs>
          <w:tab w:val="left" w:pos="8964"/>
        </w:tabs>
        <w:kinsoku/>
        <w:wordWrap w:val="0"/>
        <w:overflowPunct/>
        <w:topLinePunct w:val="0"/>
        <w:autoSpaceDE/>
        <w:autoSpaceDN/>
        <w:bidi w:val="0"/>
        <w:spacing w:line="560" w:lineRule="exact"/>
        <w:ind w:left="0" w:leftChars="0" w:firstLine="0" w:firstLineChars="0"/>
        <w:jc w:val="both"/>
        <w:textAlignment w:val="auto"/>
        <w:rPr>
          <w:rFonts w:hint="eastAsia" w:ascii="仿宋" w:hAnsi="宋体" w:eastAsia="仿宋" w:cs="仿宋"/>
          <w:color w:val="auto"/>
          <w:w w:val="99"/>
          <w:lang w:val="en-US" w:eastAsia="zh-CN"/>
        </w:rPr>
      </w:pPr>
    </w:p>
    <w:p>
      <w:pPr>
        <w:pStyle w:val="5"/>
        <w:keepNext w:val="0"/>
        <w:keepLines w:val="0"/>
        <w:pageBreakBefore w:val="0"/>
        <w:widowControl w:val="0"/>
        <w:tabs>
          <w:tab w:val="left" w:pos="8964"/>
        </w:tabs>
        <w:kinsoku/>
        <w:wordWrap w:val="0"/>
        <w:overflowPunct/>
        <w:topLinePunct w:val="0"/>
        <w:autoSpaceDE/>
        <w:autoSpaceDN/>
        <w:bidi w:val="0"/>
        <w:spacing w:line="560" w:lineRule="exact"/>
        <w:ind w:left="0" w:firstLine="632" w:firstLineChars="200"/>
        <w:jc w:val="right"/>
        <w:textAlignment w:val="auto"/>
        <w:rPr>
          <w:rFonts w:hint="eastAsia" w:ascii="仿宋" w:hAnsi="宋体" w:eastAsia="仿宋" w:cs="仿宋"/>
          <w:color w:val="auto"/>
          <w:w w:val="99"/>
          <w:lang w:val="en-US" w:eastAsia="zh-CN"/>
        </w:rPr>
      </w:pPr>
      <w:r>
        <w:rPr>
          <w:rFonts w:hint="eastAsia" w:ascii="仿宋" w:hAnsi="宋体" w:eastAsia="仿宋" w:cs="仿宋"/>
          <w:color w:val="auto"/>
          <w:w w:val="99"/>
          <w:lang w:val="en-US" w:eastAsia="zh-CN"/>
        </w:rPr>
        <w:t xml:space="preserve"> 福建省药品监督管理局 </w:t>
      </w:r>
    </w:p>
    <w:p>
      <w:pPr>
        <w:pStyle w:val="5"/>
        <w:keepNext w:val="0"/>
        <w:keepLines w:val="0"/>
        <w:pageBreakBefore w:val="0"/>
        <w:widowControl w:val="0"/>
        <w:tabs>
          <w:tab w:val="left" w:pos="8964"/>
        </w:tabs>
        <w:kinsoku/>
        <w:wordWrap w:val="0"/>
        <w:overflowPunct/>
        <w:topLinePunct w:val="0"/>
        <w:autoSpaceDE/>
        <w:autoSpaceDN/>
        <w:bidi w:val="0"/>
        <w:spacing w:line="560" w:lineRule="exact"/>
        <w:ind w:left="0" w:firstLine="632" w:firstLineChars="200"/>
        <w:jc w:val="right"/>
        <w:textAlignment w:val="auto"/>
        <w:rPr>
          <w:rFonts w:hint="eastAsia" w:ascii="仿宋" w:hAnsi="宋体" w:eastAsia="仿宋" w:cs="仿宋"/>
          <w:color w:val="auto"/>
          <w:w w:val="99"/>
          <w:lang w:val="en-US" w:eastAsia="zh-CN"/>
        </w:rPr>
      </w:pPr>
      <w:r>
        <w:rPr>
          <w:rFonts w:hint="eastAsia" w:ascii="仿宋" w:hAnsi="宋体" w:eastAsia="仿宋" w:cs="仿宋"/>
          <w:color w:val="auto"/>
          <w:w w:val="99"/>
          <w:lang w:val="en-US" w:eastAsia="zh-CN"/>
        </w:rPr>
        <w:t xml:space="preserve">                               202</w:t>
      </w:r>
      <w:r>
        <w:rPr>
          <w:rFonts w:hint="eastAsia" w:ascii="仿宋" w:eastAsia="仿宋" w:cs="仿宋"/>
          <w:color w:val="auto"/>
          <w:w w:val="99"/>
          <w:lang w:val="en-US" w:eastAsia="zh-CN"/>
        </w:rPr>
        <w:t>4</w:t>
      </w:r>
      <w:r>
        <w:rPr>
          <w:rFonts w:hint="eastAsia" w:ascii="仿宋" w:hAnsi="宋体" w:eastAsia="仿宋" w:cs="仿宋"/>
          <w:color w:val="auto"/>
          <w:w w:val="99"/>
          <w:lang w:val="en-US" w:eastAsia="zh-CN"/>
        </w:rPr>
        <w:t>年</w:t>
      </w:r>
      <w:r>
        <w:rPr>
          <w:rFonts w:hint="eastAsia" w:ascii="仿宋" w:eastAsia="仿宋" w:cs="仿宋"/>
          <w:color w:val="auto"/>
          <w:w w:val="99"/>
          <w:lang w:val="en-US" w:eastAsia="zh-CN"/>
        </w:rPr>
        <w:t>4</w:t>
      </w:r>
      <w:r>
        <w:rPr>
          <w:rFonts w:hint="eastAsia" w:ascii="仿宋" w:hAnsi="宋体" w:eastAsia="仿宋" w:cs="仿宋"/>
          <w:color w:val="auto"/>
          <w:w w:val="99"/>
          <w:lang w:val="en-US" w:eastAsia="zh-CN"/>
        </w:rPr>
        <w:t>月</w:t>
      </w:r>
      <w:r>
        <w:rPr>
          <w:rFonts w:hint="eastAsia" w:ascii="仿宋" w:eastAsia="仿宋" w:cs="仿宋"/>
          <w:color w:val="auto"/>
          <w:w w:val="99"/>
          <w:lang w:val="en-US" w:eastAsia="zh-CN"/>
        </w:rPr>
        <w:t>7</w:t>
      </w:r>
      <w:bookmarkStart w:id="1" w:name="_GoBack"/>
      <w:bookmarkEnd w:id="1"/>
      <w:r>
        <w:rPr>
          <w:rFonts w:hint="eastAsia" w:ascii="仿宋" w:hAnsi="宋体" w:eastAsia="仿宋" w:cs="仿宋"/>
          <w:color w:val="auto"/>
          <w:w w:val="99"/>
          <w:lang w:val="en-US" w:eastAsia="zh-CN"/>
        </w:rPr>
        <w:t>日</w:t>
      </w:r>
    </w:p>
    <w:p>
      <w:pPr>
        <w:pStyle w:val="5"/>
        <w:keepNext w:val="0"/>
        <w:keepLines w:val="0"/>
        <w:pageBreakBefore w:val="0"/>
        <w:widowControl w:val="0"/>
        <w:tabs>
          <w:tab w:val="left" w:pos="8964"/>
        </w:tabs>
        <w:kinsoku/>
        <w:wordWrap w:val="0"/>
        <w:overflowPunct/>
        <w:topLinePunct w:val="0"/>
        <w:autoSpaceDE/>
        <w:autoSpaceDN/>
        <w:bidi w:val="0"/>
        <w:spacing w:line="560" w:lineRule="exact"/>
        <w:ind w:left="0" w:firstLine="632" w:firstLineChars="200"/>
        <w:jc w:val="both"/>
        <w:textAlignment w:val="auto"/>
        <w:rPr>
          <w:rFonts w:hint="eastAsia" w:ascii="仿宋" w:hAnsi="宋体" w:eastAsia="仿宋" w:cs="仿宋"/>
          <w:color w:val="auto"/>
          <w:w w:val="99"/>
          <w:lang w:val="en-US" w:eastAsia="zh-CN"/>
        </w:rPr>
      </w:pPr>
    </w:p>
    <w:p>
      <w:pPr>
        <w:keepNext w:val="0"/>
        <w:keepLines w:val="0"/>
        <w:pageBreakBefore w:val="0"/>
        <w:widowControl w:val="0"/>
        <w:kinsoku/>
        <w:wordWrap w:val="0"/>
        <w:overflowPunct/>
        <w:topLinePunct w:val="0"/>
        <w:autoSpaceDE/>
        <w:autoSpaceDN/>
        <w:bidi w:val="0"/>
        <w:adjustRightInd w:val="0"/>
        <w:snapToGrid w:val="0"/>
        <w:spacing w:line="560" w:lineRule="exact"/>
        <w:jc w:val="both"/>
        <w:textAlignment w:val="auto"/>
        <w:rPr>
          <w:rFonts w:hint="eastAsia" w:ascii="方正小标宋简体" w:hAnsi="方正小标宋简体" w:eastAsia="方正小标宋简体" w:cs="方正小标宋简体"/>
          <w:color w:val="auto"/>
          <w:sz w:val="32"/>
          <w:szCs w:val="32"/>
          <w:lang w:eastAsia="zh-CN"/>
        </w:rPr>
      </w:pPr>
      <w:r>
        <w:rPr>
          <w:rFonts w:hint="eastAsia" w:ascii="方正小标宋简体" w:hAnsi="方正小标宋简体" w:eastAsia="方正小标宋简体" w:cs="方正小标宋简体"/>
          <w:color w:val="auto"/>
          <w:sz w:val="32"/>
          <w:szCs w:val="32"/>
          <w:lang w:eastAsia="zh-CN"/>
        </w:rPr>
        <w:t>（药品监督管理部门将依法向社会公示本行政处罚决定信息）</w:t>
      </w:r>
    </w:p>
    <w:p>
      <w:pPr>
        <w:keepNext w:val="0"/>
        <w:keepLines w:val="0"/>
        <w:pageBreakBefore w:val="0"/>
        <w:widowControl w:val="0"/>
        <w:kinsoku/>
        <w:wordWrap w:val="0"/>
        <w:overflowPunct/>
        <w:topLinePunct w:val="0"/>
        <w:autoSpaceDE/>
        <w:autoSpaceDN/>
        <w:bidi w:val="0"/>
        <w:adjustRightInd w:val="0"/>
        <w:snapToGrid w:val="0"/>
        <w:spacing w:line="560" w:lineRule="exact"/>
        <w:jc w:val="both"/>
        <w:textAlignment w:val="auto"/>
        <w:rPr>
          <w:rFonts w:ascii="华文仿宋" w:hAnsi="华文仿宋" w:eastAsia="华文仿宋"/>
          <w:color w:val="auto"/>
          <w:sz w:val="32"/>
          <w:szCs w:val="32"/>
          <w:lang w:eastAsia="zh-CN"/>
        </w:rPr>
      </w:pPr>
      <w:r>
        <w:rPr>
          <w:color w:val="auto"/>
          <w:sz w:val="32"/>
        </w:rPr>
        <mc:AlternateContent>
          <mc:Choice Requires="wps">
            <w:drawing>
              <wp:anchor distT="0" distB="0" distL="114300" distR="114300" simplePos="0" relativeHeight="251659264" behindDoc="0" locked="0" layoutInCell="1" allowOverlap="1">
                <wp:simplePos x="0" y="0"/>
                <wp:positionH relativeFrom="column">
                  <wp:posOffset>-53975</wp:posOffset>
                </wp:positionH>
                <wp:positionV relativeFrom="paragraph">
                  <wp:posOffset>29210</wp:posOffset>
                </wp:positionV>
                <wp:extent cx="5681345" cy="8890"/>
                <wp:effectExtent l="0" t="0" r="0" b="0"/>
                <wp:wrapNone/>
                <wp:docPr id="2" name="直接连接符 2"/>
                <wp:cNvGraphicFramePr/>
                <a:graphic xmlns:a="http://schemas.openxmlformats.org/drawingml/2006/main">
                  <a:graphicData uri="http://schemas.microsoft.com/office/word/2010/wordprocessingShape">
                    <wps:wsp>
                      <wps:cNvCnPr/>
                      <wps:spPr>
                        <a:xfrm flipV="1">
                          <a:off x="1097280" y="7673340"/>
                          <a:ext cx="5681345" cy="8890"/>
                        </a:xfrm>
                        <a:prstGeom prst="line">
                          <a:avLst/>
                        </a:prstGeom>
                        <a:ln w="19050">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flip:y;margin-left:-4.25pt;margin-top:2.3pt;height:0.7pt;width:447.35pt;z-index:251659264;mso-width-relative:page;mso-height-relative:page;" filled="f" stroked="t" coordsize="21600,21600" o:gfxdata="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WAAAAZHJzL1BLAQIUABQAAAAIAIdO4kBP11OG1QAAAAYBAAAPAAAAAAAAAAEA&#10;IAAAADgAAABkcnMvZG93bnJldi54bWxQSwECFAAUAAAACACHTuJAEPpDlfwBAADLAwAADgAAAAAA&#10;AAABACAAAAA6AQAAZHJzL2Uyb0RvYy54bWxQSwUGAAAAAAYABgBZAQAAqAUAAAAA&#10;">
                <v:fill on="f" focussize="0,0"/>
                <v:stroke weight="1.5pt" color="#000000 [3213]" miterlimit="8" joinstyle="miter"/>
                <v:imagedata o:title=""/>
                <o:lock v:ext="edit" aspectratio="f"/>
              </v:line>
            </w:pict>
          </mc:Fallback>
        </mc:AlternateContent>
      </w:r>
      <w:r>
        <w:rPr>
          <w:rFonts w:ascii="Times New Roman" w:hAnsi="Times New Roman" w:eastAsia="仿宋_GB2312" w:cs="仿宋"/>
          <w:bCs/>
          <w:color w:val="auto"/>
          <w:sz w:val="32"/>
          <w:szCs w:val="32"/>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20807045</wp:posOffset>
                </wp:positionV>
                <wp:extent cx="5762625" cy="1270"/>
                <wp:effectExtent l="0" t="0" r="0" b="0"/>
                <wp:wrapNone/>
                <wp:docPr id="12" name="直接连接符 12"/>
                <wp:cNvGraphicFramePr/>
                <a:graphic xmlns:a="http://schemas.openxmlformats.org/drawingml/2006/main">
                  <a:graphicData uri="http://schemas.microsoft.com/office/word/2010/wordprocessingShape">
                    <wps:wsp>
                      <wps:cNvCnPr/>
                      <wps:spPr>
                        <a:xfrm>
                          <a:off x="0" y="0"/>
                          <a:ext cx="5762625" cy="1270"/>
                        </a:xfrm>
                        <a:prstGeom prst="line">
                          <a:avLst/>
                        </a:prstGeom>
                        <a:ln w="9360" cap="sq"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0pt;margin-top:1638.35pt;height:0.1pt;width:453.75pt;z-index:251660288;mso-width-relative:page;mso-height-relative:page;" filled="f" stroked="t" coordsize="21600,21600" o:gfxdata="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BYAAABkcnMvUEsBAhQAFAAAAAgAh07iQIvv85HXAAAACgEAAA8AAAAAAAAAAQAgAAAA&#10;OAAAAGRycy9kb3ducmV2LnhtbFBLAQIUABQAAAAIAIdO4kDIIdYO9gEAAOkDAAAOAAAAAAAAAAEA&#10;IAAAADwBAABkcnMvZTJvRG9jLnhtbFBLBQYAAAAABgAGAFkBAACkBQAAAAA=&#10;">
                <v:fill on="f" focussize="0,0"/>
                <v:stroke weight="0.737007874015748pt" color="#000000" joinstyle="round" endcap="square"/>
                <v:imagedata o:title=""/>
                <o:lock v:ext="edit" aspectratio="f"/>
              </v:line>
            </w:pict>
          </mc:Fallback>
        </mc:AlternateContent>
      </w:r>
      <w:r>
        <w:rPr>
          <w:rFonts w:hint="eastAsia" w:ascii="Times New Roman" w:hAnsi="Times New Roman" w:eastAsia="仿宋_GB2312" w:cs="仿宋"/>
          <w:color w:val="auto"/>
          <w:sz w:val="32"/>
          <w:szCs w:val="32"/>
          <w:lang w:eastAsia="zh-CN"/>
        </w:rPr>
        <w:t>本文书一式</w:t>
      </w:r>
      <w:r>
        <w:rPr>
          <w:rFonts w:hint="eastAsia" w:ascii="Times New Roman" w:hAnsi="Times New Roman" w:eastAsia="仿宋_GB2312" w:cs="仿宋"/>
          <w:color w:val="auto"/>
          <w:sz w:val="32"/>
          <w:szCs w:val="32"/>
          <w:u w:val="single"/>
          <w:lang w:eastAsia="zh-CN"/>
        </w:rPr>
        <w:t xml:space="preserve"> 三 </w:t>
      </w:r>
      <w:r>
        <w:rPr>
          <w:rFonts w:hint="eastAsia" w:ascii="Times New Roman" w:hAnsi="Times New Roman" w:eastAsia="仿宋_GB2312" w:cs="仿宋"/>
          <w:color w:val="auto"/>
          <w:sz w:val="32"/>
          <w:szCs w:val="32"/>
          <w:lang w:eastAsia="zh-CN"/>
        </w:rPr>
        <w:t>份，</w:t>
      </w:r>
      <w:r>
        <w:rPr>
          <w:rFonts w:hint="eastAsia" w:ascii="Times New Roman" w:hAnsi="Times New Roman" w:eastAsia="仿宋_GB2312" w:cs="仿宋"/>
          <w:color w:val="auto"/>
          <w:sz w:val="32"/>
          <w:szCs w:val="32"/>
          <w:u w:val="single"/>
          <w:lang w:eastAsia="zh-CN"/>
        </w:rPr>
        <w:t>一</w:t>
      </w:r>
      <w:r>
        <w:rPr>
          <w:rFonts w:hint="eastAsia" w:ascii="Times New Roman" w:hAnsi="Times New Roman" w:eastAsia="仿宋_GB2312" w:cs="仿宋"/>
          <w:color w:val="auto"/>
          <w:sz w:val="32"/>
          <w:szCs w:val="32"/>
          <w:lang w:eastAsia="zh-CN"/>
        </w:rPr>
        <w:t>份送达，</w:t>
      </w:r>
      <w:r>
        <w:rPr>
          <w:rFonts w:hint="eastAsia" w:ascii="Times New Roman" w:hAnsi="Times New Roman" w:eastAsia="仿宋_GB2312" w:cs="仿宋"/>
          <w:color w:val="auto"/>
          <w:sz w:val="32"/>
          <w:szCs w:val="32"/>
          <w:u w:val="single"/>
          <w:lang w:eastAsia="zh-CN"/>
        </w:rPr>
        <w:t>二</w:t>
      </w:r>
      <w:r>
        <w:rPr>
          <w:rFonts w:hint="eastAsia" w:ascii="Times New Roman" w:hAnsi="Times New Roman" w:eastAsia="仿宋_GB2312" w:cs="仿宋"/>
          <w:color w:val="auto"/>
          <w:sz w:val="32"/>
          <w:szCs w:val="32"/>
          <w:lang w:eastAsia="zh-CN"/>
        </w:rPr>
        <w:t>份归档。</w:t>
      </w:r>
    </w:p>
    <w:sectPr>
      <w:headerReference r:id="rId3" w:type="default"/>
      <w:footerReference r:id="rId4" w:type="default"/>
      <w:pgSz w:w="11906" w:h="16838"/>
      <w:pgMar w:top="1984" w:right="1655" w:bottom="1984" w:left="1655"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CC"/>
    <w:family w:val="roman"/>
    <w:pitch w:val="default"/>
    <w:sig w:usb0="00000000" w:usb1="00000000" w:usb2="00000009" w:usb3="00000000" w:csb0="400001FF" w:csb1="FFFF0000"/>
  </w:font>
  <w:font w:name="宋体">
    <w:altName w:val="方正书宋_GBK"/>
    <w:panose1 w:val="02010600030101010101"/>
    <w:charset w:val="7A"/>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CESI仿宋-GB2312">
    <w:panose1 w:val="02000500000000000000"/>
    <w:charset w:val="86"/>
    <w:family w:val="auto"/>
    <w:pitch w:val="default"/>
    <w:sig w:usb0="800002AF" w:usb1="084F6CF8" w:usb2="00000010" w:usb3="00000000" w:csb0="0004000F" w:csb1="00000000"/>
  </w:font>
  <w:font w:name="仿宋_GB2312">
    <w:altName w:val="方正仿宋_GBK"/>
    <w:panose1 w:val="02010609030101010101"/>
    <w:charset w:val="86"/>
    <w:family w:val="modern"/>
    <w:pitch w:val="default"/>
    <w:sig w:usb0="00000000" w:usb1="00000000" w:usb2="00000000" w:usb3="00000000" w:csb0="00040000" w:csb1="00000000"/>
  </w:font>
  <w:font w:name="华文仿宋">
    <w:altName w:val="方正仿宋_GBK"/>
    <w:panose1 w:val="02010600040101010101"/>
    <w:charset w:val="86"/>
    <w:family w:val="auto"/>
    <w:pitch w:val="default"/>
    <w:sig w:usb0="00000000" w:usb1="0000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ascii="楷体" w:hAnsi="楷体" w:eastAsia="楷体" w:cs="楷体"/>
                              <w:sz w:val="24"/>
                              <w:szCs w:val="24"/>
                              <w:lang w:eastAsia="zh-CN"/>
                            </w:rPr>
                          </w:pPr>
                          <w:r>
                            <w:rPr>
                              <w:rFonts w:hint="eastAsia" w:ascii="楷体" w:hAnsi="楷体" w:eastAsia="楷体" w:cs="楷体"/>
                              <w:sz w:val="24"/>
                              <w:szCs w:val="24"/>
                              <w:lang w:eastAsia="zh-CN"/>
                            </w:rPr>
                            <w:t xml:space="preserve">第 </w:t>
                          </w:r>
                          <w:r>
                            <w:rPr>
                              <w:rFonts w:hint="eastAsia" w:ascii="楷体" w:hAnsi="楷体" w:eastAsia="楷体" w:cs="楷体"/>
                              <w:sz w:val="24"/>
                              <w:szCs w:val="24"/>
                              <w:lang w:eastAsia="zh-CN"/>
                            </w:rPr>
                            <w:fldChar w:fldCharType="begin"/>
                          </w:r>
                          <w:r>
                            <w:rPr>
                              <w:rFonts w:hint="eastAsia" w:ascii="楷体" w:hAnsi="楷体" w:eastAsia="楷体" w:cs="楷体"/>
                              <w:sz w:val="24"/>
                              <w:szCs w:val="24"/>
                              <w:lang w:eastAsia="zh-CN"/>
                            </w:rPr>
                            <w:instrText xml:space="preserve"> PAGE  \* MERGEFORMAT </w:instrText>
                          </w:r>
                          <w:r>
                            <w:rPr>
                              <w:rFonts w:hint="eastAsia" w:ascii="楷体" w:hAnsi="楷体" w:eastAsia="楷体" w:cs="楷体"/>
                              <w:sz w:val="24"/>
                              <w:szCs w:val="24"/>
                              <w:lang w:eastAsia="zh-CN"/>
                            </w:rPr>
                            <w:fldChar w:fldCharType="separate"/>
                          </w:r>
                          <w:r>
                            <w:rPr>
                              <w:rFonts w:hint="eastAsia" w:ascii="楷体" w:hAnsi="楷体" w:eastAsia="楷体" w:cs="楷体"/>
                              <w:sz w:val="24"/>
                              <w:szCs w:val="24"/>
                              <w:lang w:eastAsia="zh-CN"/>
                            </w:rPr>
                            <w:t>1</w:t>
                          </w:r>
                          <w:r>
                            <w:rPr>
                              <w:rFonts w:hint="eastAsia" w:ascii="楷体" w:hAnsi="楷体" w:eastAsia="楷体" w:cs="楷体"/>
                              <w:sz w:val="24"/>
                              <w:szCs w:val="24"/>
                              <w:lang w:eastAsia="zh-CN"/>
                            </w:rPr>
                            <w:fldChar w:fldCharType="end"/>
                          </w:r>
                          <w:r>
                            <w:rPr>
                              <w:rFonts w:hint="eastAsia" w:ascii="楷体" w:hAnsi="楷体" w:eastAsia="楷体" w:cs="楷体"/>
                              <w:sz w:val="24"/>
                              <w:szCs w:val="24"/>
                              <w:lang w:eastAsia="zh-CN"/>
                            </w:rPr>
                            <w:t xml:space="preserve"> 页 共 </w:t>
                          </w:r>
                          <w:r>
                            <w:rPr>
                              <w:rFonts w:hint="eastAsia" w:ascii="楷体" w:hAnsi="楷体" w:eastAsia="楷体" w:cs="楷体"/>
                              <w:sz w:val="24"/>
                              <w:szCs w:val="24"/>
                              <w:lang w:eastAsia="zh-CN"/>
                            </w:rPr>
                            <w:fldChar w:fldCharType="begin"/>
                          </w:r>
                          <w:r>
                            <w:rPr>
                              <w:rFonts w:hint="eastAsia" w:ascii="楷体" w:hAnsi="楷体" w:eastAsia="楷体" w:cs="楷体"/>
                              <w:sz w:val="24"/>
                              <w:szCs w:val="24"/>
                              <w:lang w:eastAsia="zh-CN"/>
                            </w:rPr>
                            <w:instrText xml:space="preserve"> NUMPAGES  \* MERGEFORMAT </w:instrText>
                          </w:r>
                          <w:r>
                            <w:rPr>
                              <w:rFonts w:hint="eastAsia" w:ascii="楷体" w:hAnsi="楷体" w:eastAsia="楷体" w:cs="楷体"/>
                              <w:sz w:val="24"/>
                              <w:szCs w:val="24"/>
                              <w:lang w:eastAsia="zh-CN"/>
                            </w:rPr>
                            <w:fldChar w:fldCharType="separate"/>
                          </w:r>
                          <w:r>
                            <w:rPr>
                              <w:rFonts w:hint="eastAsia" w:ascii="楷体" w:hAnsi="楷体" w:eastAsia="楷体" w:cs="楷体"/>
                              <w:sz w:val="24"/>
                              <w:szCs w:val="24"/>
                              <w:lang w:eastAsia="zh-CN"/>
                            </w:rPr>
                            <w:t>5</w:t>
                          </w:r>
                          <w:r>
                            <w:rPr>
                              <w:rFonts w:hint="eastAsia" w:ascii="楷体" w:hAnsi="楷体" w:eastAsia="楷体" w:cs="楷体"/>
                              <w:sz w:val="24"/>
                              <w:szCs w:val="24"/>
                              <w:lang w:eastAsia="zh-CN"/>
                            </w:rPr>
                            <w:fldChar w:fldCharType="end"/>
                          </w:r>
                          <w:r>
                            <w:rPr>
                              <w:rFonts w:hint="eastAsia" w:ascii="楷体" w:hAnsi="楷体" w:eastAsia="楷体" w:cs="楷体"/>
                              <w:sz w:val="24"/>
                              <w:szCs w:val="24"/>
                              <w:lang w:eastAsia="zh-CN"/>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M1w58KgIAAFU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gizZlnY6p3lEToq5u3qGCBgp2sUpVdi0ArT1nVmeBlxnP/cd1GPf4Plb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BYAAABk&#10;cnMvUEsBAhQAFAAAAAgAh07iQLNJWO7QAAAABQEAAA8AAAAAAAAAAQAgAAAAOAAAAGRycy9kb3du&#10;cmV2LnhtbFBLAQIUABQAAAAIAIdO4kCM1w58KgIAAFUEAAAOAAAAAAAAAAEAIAAAADUBAABkcnMv&#10;ZTJvRG9jLnhtbFBLBQYAAAAABgAGAFkBAADRBQAAAAA=&#10;">
              <v:fill on="f" focussize="0,0"/>
              <v:stroke on="f" weight="0.5pt"/>
              <v:imagedata o:title=""/>
              <o:lock v:ext="edit" aspectratio="f"/>
              <v:textbox inset="0mm,0mm,0mm,0mm" style="mso-fit-shape-to-text:t;">
                <w:txbxContent>
                  <w:p>
                    <w:pPr>
                      <w:rPr>
                        <w:rFonts w:ascii="楷体" w:hAnsi="楷体" w:eastAsia="楷体" w:cs="楷体"/>
                        <w:sz w:val="24"/>
                        <w:szCs w:val="24"/>
                        <w:lang w:eastAsia="zh-CN"/>
                      </w:rPr>
                    </w:pPr>
                    <w:r>
                      <w:rPr>
                        <w:rFonts w:hint="eastAsia" w:ascii="楷体" w:hAnsi="楷体" w:eastAsia="楷体" w:cs="楷体"/>
                        <w:sz w:val="24"/>
                        <w:szCs w:val="24"/>
                        <w:lang w:eastAsia="zh-CN"/>
                      </w:rPr>
                      <w:t xml:space="preserve">第 </w:t>
                    </w:r>
                    <w:r>
                      <w:rPr>
                        <w:rFonts w:hint="eastAsia" w:ascii="楷体" w:hAnsi="楷体" w:eastAsia="楷体" w:cs="楷体"/>
                        <w:sz w:val="24"/>
                        <w:szCs w:val="24"/>
                        <w:lang w:eastAsia="zh-CN"/>
                      </w:rPr>
                      <w:fldChar w:fldCharType="begin"/>
                    </w:r>
                    <w:r>
                      <w:rPr>
                        <w:rFonts w:hint="eastAsia" w:ascii="楷体" w:hAnsi="楷体" w:eastAsia="楷体" w:cs="楷体"/>
                        <w:sz w:val="24"/>
                        <w:szCs w:val="24"/>
                        <w:lang w:eastAsia="zh-CN"/>
                      </w:rPr>
                      <w:instrText xml:space="preserve"> PAGE  \* MERGEFORMAT </w:instrText>
                    </w:r>
                    <w:r>
                      <w:rPr>
                        <w:rFonts w:hint="eastAsia" w:ascii="楷体" w:hAnsi="楷体" w:eastAsia="楷体" w:cs="楷体"/>
                        <w:sz w:val="24"/>
                        <w:szCs w:val="24"/>
                        <w:lang w:eastAsia="zh-CN"/>
                      </w:rPr>
                      <w:fldChar w:fldCharType="separate"/>
                    </w:r>
                    <w:r>
                      <w:rPr>
                        <w:rFonts w:hint="eastAsia" w:ascii="楷体" w:hAnsi="楷体" w:eastAsia="楷体" w:cs="楷体"/>
                        <w:sz w:val="24"/>
                        <w:szCs w:val="24"/>
                        <w:lang w:eastAsia="zh-CN"/>
                      </w:rPr>
                      <w:t>1</w:t>
                    </w:r>
                    <w:r>
                      <w:rPr>
                        <w:rFonts w:hint="eastAsia" w:ascii="楷体" w:hAnsi="楷体" w:eastAsia="楷体" w:cs="楷体"/>
                        <w:sz w:val="24"/>
                        <w:szCs w:val="24"/>
                        <w:lang w:eastAsia="zh-CN"/>
                      </w:rPr>
                      <w:fldChar w:fldCharType="end"/>
                    </w:r>
                    <w:r>
                      <w:rPr>
                        <w:rFonts w:hint="eastAsia" w:ascii="楷体" w:hAnsi="楷体" w:eastAsia="楷体" w:cs="楷体"/>
                        <w:sz w:val="24"/>
                        <w:szCs w:val="24"/>
                        <w:lang w:eastAsia="zh-CN"/>
                      </w:rPr>
                      <w:t xml:space="preserve"> 页 共 </w:t>
                    </w:r>
                    <w:r>
                      <w:rPr>
                        <w:rFonts w:hint="eastAsia" w:ascii="楷体" w:hAnsi="楷体" w:eastAsia="楷体" w:cs="楷体"/>
                        <w:sz w:val="24"/>
                        <w:szCs w:val="24"/>
                        <w:lang w:eastAsia="zh-CN"/>
                      </w:rPr>
                      <w:fldChar w:fldCharType="begin"/>
                    </w:r>
                    <w:r>
                      <w:rPr>
                        <w:rFonts w:hint="eastAsia" w:ascii="楷体" w:hAnsi="楷体" w:eastAsia="楷体" w:cs="楷体"/>
                        <w:sz w:val="24"/>
                        <w:szCs w:val="24"/>
                        <w:lang w:eastAsia="zh-CN"/>
                      </w:rPr>
                      <w:instrText xml:space="preserve"> NUMPAGES  \* MERGEFORMAT </w:instrText>
                    </w:r>
                    <w:r>
                      <w:rPr>
                        <w:rFonts w:hint="eastAsia" w:ascii="楷体" w:hAnsi="楷体" w:eastAsia="楷体" w:cs="楷体"/>
                        <w:sz w:val="24"/>
                        <w:szCs w:val="24"/>
                        <w:lang w:eastAsia="zh-CN"/>
                      </w:rPr>
                      <w:fldChar w:fldCharType="separate"/>
                    </w:r>
                    <w:r>
                      <w:rPr>
                        <w:rFonts w:hint="eastAsia" w:ascii="楷体" w:hAnsi="楷体" w:eastAsia="楷体" w:cs="楷体"/>
                        <w:sz w:val="24"/>
                        <w:szCs w:val="24"/>
                        <w:lang w:eastAsia="zh-CN"/>
                      </w:rPr>
                      <w:t>5</w:t>
                    </w:r>
                    <w:r>
                      <w:rPr>
                        <w:rFonts w:hint="eastAsia" w:ascii="楷体" w:hAnsi="楷体" w:eastAsia="楷体" w:cs="楷体"/>
                        <w:sz w:val="24"/>
                        <w:szCs w:val="24"/>
                        <w:lang w:eastAsia="zh-CN"/>
                      </w:rPr>
                      <w:fldChar w:fldCharType="end"/>
                    </w:r>
                    <w:r>
                      <w:rPr>
                        <w:rFonts w:hint="eastAsia" w:ascii="楷体" w:hAnsi="楷体" w:eastAsia="楷体" w:cs="楷体"/>
                        <w:sz w:val="24"/>
                        <w:szCs w:val="24"/>
                        <w:lang w:eastAsia="zh-CN"/>
                      </w:rPr>
                      <w:t xml:space="preserve"> 页</w:t>
                    </w:r>
                  </w:p>
                </w:txbxContent>
              </v:textbox>
            </v:shape>
          </w:pict>
        </mc:Fallback>
      </mc:AlternateContent>
    </w:r>
  </w:p>
  <w:p>
    <w:pPr>
      <w:spacing w:line="14" w:lineRule="auto"/>
      <w:rPr>
        <w:sz w:val="20"/>
        <w:szCs w:val="20"/>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sz w:val="2"/>
        <w:szCs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BjOWZiOGJjZDlkNjQzMzUwYjBhYzQyNTAyZTk3MmIifQ=="/>
  </w:docVars>
  <w:rsids>
    <w:rsidRoot w:val="65083047"/>
    <w:rsid w:val="000076F9"/>
    <w:rsid w:val="0006104D"/>
    <w:rsid w:val="000D4ED6"/>
    <w:rsid w:val="00116858"/>
    <w:rsid w:val="001304C9"/>
    <w:rsid w:val="00131C43"/>
    <w:rsid w:val="00167354"/>
    <w:rsid w:val="001A7F21"/>
    <w:rsid w:val="002116B8"/>
    <w:rsid w:val="0025046F"/>
    <w:rsid w:val="00263E90"/>
    <w:rsid w:val="002741C6"/>
    <w:rsid w:val="0027556E"/>
    <w:rsid w:val="002A63D8"/>
    <w:rsid w:val="003166B6"/>
    <w:rsid w:val="003B6887"/>
    <w:rsid w:val="003E348E"/>
    <w:rsid w:val="00446077"/>
    <w:rsid w:val="00454615"/>
    <w:rsid w:val="00471CC8"/>
    <w:rsid w:val="00485D2C"/>
    <w:rsid w:val="004959EC"/>
    <w:rsid w:val="004A57E3"/>
    <w:rsid w:val="004C2977"/>
    <w:rsid w:val="004C778F"/>
    <w:rsid w:val="004E2DA8"/>
    <w:rsid w:val="00552693"/>
    <w:rsid w:val="00574575"/>
    <w:rsid w:val="005A3D4D"/>
    <w:rsid w:val="005F005D"/>
    <w:rsid w:val="00601D60"/>
    <w:rsid w:val="00602905"/>
    <w:rsid w:val="00626B14"/>
    <w:rsid w:val="00662FBC"/>
    <w:rsid w:val="006A4F29"/>
    <w:rsid w:val="006D284D"/>
    <w:rsid w:val="006D2A5A"/>
    <w:rsid w:val="006E4D97"/>
    <w:rsid w:val="0070688E"/>
    <w:rsid w:val="00720F39"/>
    <w:rsid w:val="007251DD"/>
    <w:rsid w:val="00725E00"/>
    <w:rsid w:val="0074353E"/>
    <w:rsid w:val="00752531"/>
    <w:rsid w:val="00760359"/>
    <w:rsid w:val="007A2C29"/>
    <w:rsid w:val="007E02EA"/>
    <w:rsid w:val="007E6A8B"/>
    <w:rsid w:val="00821991"/>
    <w:rsid w:val="008939C3"/>
    <w:rsid w:val="008F6356"/>
    <w:rsid w:val="00964871"/>
    <w:rsid w:val="009F61DD"/>
    <w:rsid w:val="00A91175"/>
    <w:rsid w:val="00A96F98"/>
    <w:rsid w:val="00AD1ABB"/>
    <w:rsid w:val="00AD1FD2"/>
    <w:rsid w:val="00AD4044"/>
    <w:rsid w:val="00B33BB6"/>
    <w:rsid w:val="00B72F4A"/>
    <w:rsid w:val="00B8717D"/>
    <w:rsid w:val="00BB32A5"/>
    <w:rsid w:val="00BE1004"/>
    <w:rsid w:val="00BE65B9"/>
    <w:rsid w:val="00BF2CAD"/>
    <w:rsid w:val="00C016B4"/>
    <w:rsid w:val="00C3486B"/>
    <w:rsid w:val="00C401EC"/>
    <w:rsid w:val="00C63AA4"/>
    <w:rsid w:val="00C73DC0"/>
    <w:rsid w:val="00C752BA"/>
    <w:rsid w:val="00C92CD4"/>
    <w:rsid w:val="00D215DC"/>
    <w:rsid w:val="00DC3181"/>
    <w:rsid w:val="00E667E6"/>
    <w:rsid w:val="00E86828"/>
    <w:rsid w:val="00F14D4C"/>
    <w:rsid w:val="00F16745"/>
    <w:rsid w:val="00F44D0A"/>
    <w:rsid w:val="00F70D44"/>
    <w:rsid w:val="00FB037D"/>
    <w:rsid w:val="00FF1004"/>
    <w:rsid w:val="015934D7"/>
    <w:rsid w:val="01A8244A"/>
    <w:rsid w:val="02CD7174"/>
    <w:rsid w:val="034A3DC8"/>
    <w:rsid w:val="035A132A"/>
    <w:rsid w:val="03B355F1"/>
    <w:rsid w:val="03E55970"/>
    <w:rsid w:val="042E2A02"/>
    <w:rsid w:val="04344C2B"/>
    <w:rsid w:val="06790CB6"/>
    <w:rsid w:val="06EE5CCB"/>
    <w:rsid w:val="083E26EA"/>
    <w:rsid w:val="08857A68"/>
    <w:rsid w:val="08BF6C7F"/>
    <w:rsid w:val="08C734B5"/>
    <w:rsid w:val="08E944DC"/>
    <w:rsid w:val="095927AF"/>
    <w:rsid w:val="099E1C5B"/>
    <w:rsid w:val="0A63496D"/>
    <w:rsid w:val="0B004811"/>
    <w:rsid w:val="0B5510ED"/>
    <w:rsid w:val="0C92070D"/>
    <w:rsid w:val="0E201293"/>
    <w:rsid w:val="10684A8D"/>
    <w:rsid w:val="108A2A97"/>
    <w:rsid w:val="10CC60DE"/>
    <w:rsid w:val="11350FA8"/>
    <w:rsid w:val="11801AD2"/>
    <w:rsid w:val="125E451D"/>
    <w:rsid w:val="12AE37FC"/>
    <w:rsid w:val="13302FAF"/>
    <w:rsid w:val="135A11F5"/>
    <w:rsid w:val="1378469B"/>
    <w:rsid w:val="145C39AA"/>
    <w:rsid w:val="1507562D"/>
    <w:rsid w:val="155E61A6"/>
    <w:rsid w:val="156A785C"/>
    <w:rsid w:val="16E77445"/>
    <w:rsid w:val="16EF7882"/>
    <w:rsid w:val="17245BED"/>
    <w:rsid w:val="172A59C2"/>
    <w:rsid w:val="174674B3"/>
    <w:rsid w:val="17605138"/>
    <w:rsid w:val="17827FBC"/>
    <w:rsid w:val="178F1F46"/>
    <w:rsid w:val="17C027FA"/>
    <w:rsid w:val="18C25926"/>
    <w:rsid w:val="194F21F4"/>
    <w:rsid w:val="19D36623"/>
    <w:rsid w:val="1A631159"/>
    <w:rsid w:val="1AF82902"/>
    <w:rsid w:val="1B491A7F"/>
    <w:rsid w:val="1B7A4A7B"/>
    <w:rsid w:val="1BA432ED"/>
    <w:rsid w:val="1BFA1379"/>
    <w:rsid w:val="1CDF37E5"/>
    <w:rsid w:val="1CE02C2B"/>
    <w:rsid w:val="1D034CB0"/>
    <w:rsid w:val="1D0D6A2F"/>
    <w:rsid w:val="1D29078C"/>
    <w:rsid w:val="1D8D1B36"/>
    <w:rsid w:val="1DC837D0"/>
    <w:rsid w:val="1E590AAC"/>
    <w:rsid w:val="1F0027C9"/>
    <w:rsid w:val="1F0D61FF"/>
    <w:rsid w:val="1F620DA6"/>
    <w:rsid w:val="1F625378"/>
    <w:rsid w:val="1F730535"/>
    <w:rsid w:val="1FF62F16"/>
    <w:rsid w:val="200F180C"/>
    <w:rsid w:val="207B67D9"/>
    <w:rsid w:val="208715FC"/>
    <w:rsid w:val="20A830A0"/>
    <w:rsid w:val="20C56CD5"/>
    <w:rsid w:val="20FD5C4D"/>
    <w:rsid w:val="21294C5D"/>
    <w:rsid w:val="2172545D"/>
    <w:rsid w:val="21AB49A6"/>
    <w:rsid w:val="23524232"/>
    <w:rsid w:val="239902C6"/>
    <w:rsid w:val="23AB01E1"/>
    <w:rsid w:val="23E800D8"/>
    <w:rsid w:val="23FA2718"/>
    <w:rsid w:val="243E1FD3"/>
    <w:rsid w:val="24F001BC"/>
    <w:rsid w:val="25013877"/>
    <w:rsid w:val="254B6B10"/>
    <w:rsid w:val="255B2E93"/>
    <w:rsid w:val="262375E4"/>
    <w:rsid w:val="26936D6D"/>
    <w:rsid w:val="26E97F1F"/>
    <w:rsid w:val="27207FB4"/>
    <w:rsid w:val="283B7B77"/>
    <w:rsid w:val="28A36CB5"/>
    <w:rsid w:val="28CF2AD0"/>
    <w:rsid w:val="290C64DE"/>
    <w:rsid w:val="299332EA"/>
    <w:rsid w:val="29D46730"/>
    <w:rsid w:val="2A0477FE"/>
    <w:rsid w:val="2A1E2604"/>
    <w:rsid w:val="2A885F66"/>
    <w:rsid w:val="2A953DEB"/>
    <w:rsid w:val="2B32503B"/>
    <w:rsid w:val="2B471190"/>
    <w:rsid w:val="2B882F50"/>
    <w:rsid w:val="2C0E6222"/>
    <w:rsid w:val="2C245F13"/>
    <w:rsid w:val="2C402F46"/>
    <w:rsid w:val="2C4F20BE"/>
    <w:rsid w:val="2C9C2A25"/>
    <w:rsid w:val="2CAB28EB"/>
    <w:rsid w:val="2D156330"/>
    <w:rsid w:val="2D3E7BDA"/>
    <w:rsid w:val="2DC72D74"/>
    <w:rsid w:val="2E104BF8"/>
    <w:rsid w:val="2E3F4397"/>
    <w:rsid w:val="2EFE2A09"/>
    <w:rsid w:val="2FC83BC5"/>
    <w:rsid w:val="30205EC5"/>
    <w:rsid w:val="30CC3B25"/>
    <w:rsid w:val="30E56DCF"/>
    <w:rsid w:val="31A01FCD"/>
    <w:rsid w:val="32122DCC"/>
    <w:rsid w:val="3267178A"/>
    <w:rsid w:val="3273346D"/>
    <w:rsid w:val="32C239D6"/>
    <w:rsid w:val="32FF13C6"/>
    <w:rsid w:val="333E1607"/>
    <w:rsid w:val="34A77B35"/>
    <w:rsid w:val="36063F0C"/>
    <w:rsid w:val="3657287F"/>
    <w:rsid w:val="36986B81"/>
    <w:rsid w:val="372514F8"/>
    <w:rsid w:val="372D2573"/>
    <w:rsid w:val="377F5161"/>
    <w:rsid w:val="385B4BC7"/>
    <w:rsid w:val="388A6476"/>
    <w:rsid w:val="3902581C"/>
    <w:rsid w:val="39411416"/>
    <w:rsid w:val="39861EF9"/>
    <w:rsid w:val="39B16DC4"/>
    <w:rsid w:val="3AD34C33"/>
    <w:rsid w:val="3AD6DAE8"/>
    <w:rsid w:val="3B101D8E"/>
    <w:rsid w:val="3B3B3C44"/>
    <w:rsid w:val="3BCD1ECC"/>
    <w:rsid w:val="3C355093"/>
    <w:rsid w:val="3CBB45AF"/>
    <w:rsid w:val="3CE467FA"/>
    <w:rsid w:val="3D370DD9"/>
    <w:rsid w:val="3D4B50F5"/>
    <w:rsid w:val="3D747298"/>
    <w:rsid w:val="3D757FFD"/>
    <w:rsid w:val="3D8533EF"/>
    <w:rsid w:val="3D966E56"/>
    <w:rsid w:val="3DB74078"/>
    <w:rsid w:val="3E014AD8"/>
    <w:rsid w:val="3E4D1CA0"/>
    <w:rsid w:val="3E88285A"/>
    <w:rsid w:val="3E962A64"/>
    <w:rsid w:val="3EE0049B"/>
    <w:rsid w:val="3EFB17B0"/>
    <w:rsid w:val="3F2F3033"/>
    <w:rsid w:val="40121D43"/>
    <w:rsid w:val="409043DB"/>
    <w:rsid w:val="40B953A4"/>
    <w:rsid w:val="40EF5E84"/>
    <w:rsid w:val="42297D41"/>
    <w:rsid w:val="424576B0"/>
    <w:rsid w:val="44773770"/>
    <w:rsid w:val="44BA39B3"/>
    <w:rsid w:val="44DF0AF4"/>
    <w:rsid w:val="460C05EA"/>
    <w:rsid w:val="46404B8B"/>
    <w:rsid w:val="46701E6D"/>
    <w:rsid w:val="469F0959"/>
    <w:rsid w:val="47416AED"/>
    <w:rsid w:val="476E06B1"/>
    <w:rsid w:val="47912F7F"/>
    <w:rsid w:val="479B1832"/>
    <w:rsid w:val="47A91FA2"/>
    <w:rsid w:val="47AB08BF"/>
    <w:rsid w:val="480661D1"/>
    <w:rsid w:val="48666BF4"/>
    <w:rsid w:val="48ED38AE"/>
    <w:rsid w:val="4939489D"/>
    <w:rsid w:val="4A3A669D"/>
    <w:rsid w:val="4AA27E1D"/>
    <w:rsid w:val="4AAB7984"/>
    <w:rsid w:val="4B5E2203"/>
    <w:rsid w:val="4B897B81"/>
    <w:rsid w:val="4C15710C"/>
    <w:rsid w:val="4D8A63D6"/>
    <w:rsid w:val="4E247347"/>
    <w:rsid w:val="4EA07739"/>
    <w:rsid w:val="4F120C43"/>
    <w:rsid w:val="511479F5"/>
    <w:rsid w:val="52713C27"/>
    <w:rsid w:val="531E23C4"/>
    <w:rsid w:val="53221836"/>
    <w:rsid w:val="53F73D50"/>
    <w:rsid w:val="54F2143B"/>
    <w:rsid w:val="5512731F"/>
    <w:rsid w:val="55E24DBD"/>
    <w:rsid w:val="568062FA"/>
    <w:rsid w:val="56C8275D"/>
    <w:rsid w:val="57A26C2A"/>
    <w:rsid w:val="58090C4A"/>
    <w:rsid w:val="580F023D"/>
    <w:rsid w:val="583623B8"/>
    <w:rsid w:val="589F2320"/>
    <w:rsid w:val="59D15036"/>
    <w:rsid w:val="5B8C683A"/>
    <w:rsid w:val="5C721D8A"/>
    <w:rsid w:val="5D6F153B"/>
    <w:rsid w:val="5D952654"/>
    <w:rsid w:val="5DF7136B"/>
    <w:rsid w:val="5DFDFD73"/>
    <w:rsid w:val="5E6E59DF"/>
    <w:rsid w:val="5E931CC2"/>
    <w:rsid w:val="5EB966C4"/>
    <w:rsid w:val="5F0D2907"/>
    <w:rsid w:val="5FD22462"/>
    <w:rsid w:val="606002B3"/>
    <w:rsid w:val="60885A45"/>
    <w:rsid w:val="60C80675"/>
    <w:rsid w:val="61157549"/>
    <w:rsid w:val="61BD6746"/>
    <w:rsid w:val="61BF199F"/>
    <w:rsid w:val="61C63E16"/>
    <w:rsid w:val="61D5310B"/>
    <w:rsid w:val="631873C2"/>
    <w:rsid w:val="6380785D"/>
    <w:rsid w:val="642B70E3"/>
    <w:rsid w:val="64997862"/>
    <w:rsid w:val="65083047"/>
    <w:rsid w:val="65E93C06"/>
    <w:rsid w:val="66185BED"/>
    <w:rsid w:val="67C473C5"/>
    <w:rsid w:val="67E7468B"/>
    <w:rsid w:val="6838688B"/>
    <w:rsid w:val="683F57F8"/>
    <w:rsid w:val="68C23A79"/>
    <w:rsid w:val="691960C4"/>
    <w:rsid w:val="6A283D01"/>
    <w:rsid w:val="6BE756B7"/>
    <w:rsid w:val="6C802F03"/>
    <w:rsid w:val="6C86641A"/>
    <w:rsid w:val="6E037C97"/>
    <w:rsid w:val="6F13352F"/>
    <w:rsid w:val="6F1B486C"/>
    <w:rsid w:val="6F3E6364"/>
    <w:rsid w:val="6F991AF5"/>
    <w:rsid w:val="6FBC1D57"/>
    <w:rsid w:val="7042373A"/>
    <w:rsid w:val="705065EF"/>
    <w:rsid w:val="70996483"/>
    <w:rsid w:val="7100549D"/>
    <w:rsid w:val="714D3198"/>
    <w:rsid w:val="71677A10"/>
    <w:rsid w:val="724C24F7"/>
    <w:rsid w:val="72877EBA"/>
    <w:rsid w:val="72EB447D"/>
    <w:rsid w:val="74683BAE"/>
    <w:rsid w:val="74987909"/>
    <w:rsid w:val="74F64FB8"/>
    <w:rsid w:val="75271E66"/>
    <w:rsid w:val="753C02EF"/>
    <w:rsid w:val="75A868AA"/>
    <w:rsid w:val="75C947F2"/>
    <w:rsid w:val="766858C0"/>
    <w:rsid w:val="766E7EE8"/>
    <w:rsid w:val="76946B42"/>
    <w:rsid w:val="76BF21F6"/>
    <w:rsid w:val="76FF09A7"/>
    <w:rsid w:val="77194596"/>
    <w:rsid w:val="77842E2E"/>
    <w:rsid w:val="77AC1651"/>
    <w:rsid w:val="77BB3AFD"/>
    <w:rsid w:val="78034139"/>
    <w:rsid w:val="78055D13"/>
    <w:rsid w:val="780F66AC"/>
    <w:rsid w:val="78B64E80"/>
    <w:rsid w:val="78BA1A41"/>
    <w:rsid w:val="78CA386B"/>
    <w:rsid w:val="79103E5D"/>
    <w:rsid w:val="792D4039"/>
    <w:rsid w:val="7A136632"/>
    <w:rsid w:val="7A526E34"/>
    <w:rsid w:val="7B9B28DB"/>
    <w:rsid w:val="7BC562DE"/>
    <w:rsid w:val="7BC7750E"/>
    <w:rsid w:val="7D081BB2"/>
    <w:rsid w:val="7D802571"/>
    <w:rsid w:val="7EEE5C23"/>
    <w:rsid w:val="7F722BC6"/>
    <w:rsid w:val="7FF21243"/>
    <w:rsid w:val="9FEB8627"/>
    <w:rsid w:val="FF7741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iPriority="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pPr>
    <w:rPr>
      <w:rFonts w:ascii="Calibri" w:hAnsi="Calibri" w:eastAsia="宋体" w:cs="Times New Roman"/>
      <w:sz w:val="22"/>
      <w:szCs w:val="22"/>
      <w:lang w:val="en-US" w:eastAsia="en-US" w:bidi="ar-SA"/>
    </w:rPr>
  </w:style>
  <w:style w:type="paragraph" w:styleId="2">
    <w:name w:val="heading 1"/>
    <w:basedOn w:val="1"/>
    <w:next w:val="1"/>
    <w:link w:val="14"/>
    <w:qFormat/>
    <w:uiPriority w:val="0"/>
    <w:pPr>
      <w:outlineLvl w:val="0"/>
    </w:pPr>
    <w:rPr>
      <w:rFonts w:ascii="宋体" w:hAnsi="宋体"/>
      <w:sz w:val="42"/>
      <w:szCs w:val="42"/>
    </w:rPr>
  </w:style>
  <w:style w:type="paragraph" w:styleId="3">
    <w:name w:val="heading 2"/>
    <w:basedOn w:val="1"/>
    <w:next w:val="1"/>
    <w:link w:val="15"/>
    <w:unhideWhenUsed/>
    <w:qFormat/>
    <w:uiPriority w:val="0"/>
    <w:pPr>
      <w:keepNext/>
      <w:keepLines/>
      <w:spacing w:before="260" w:after="260" w:line="413" w:lineRule="auto"/>
      <w:outlineLvl w:val="1"/>
    </w:pPr>
    <w:rPr>
      <w:rFonts w:ascii="Arial" w:hAnsi="Arial" w:eastAsia="黑体"/>
      <w:b/>
      <w:sz w:val="32"/>
    </w:rPr>
  </w:style>
  <w:style w:type="paragraph" w:styleId="4">
    <w:name w:val="heading 3"/>
    <w:basedOn w:val="1"/>
    <w:next w:val="1"/>
    <w:link w:val="17"/>
    <w:unhideWhenUsed/>
    <w:qFormat/>
    <w:uiPriority w:val="0"/>
    <w:pPr>
      <w:keepNext/>
      <w:keepLines/>
      <w:spacing w:before="260" w:after="260" w:line="413" w:lineRule="auto"/>
      <w:outlineLvl w:val="2"/>
    </w:pPr>
    <w:rPr>
      <w:b/>
      <w:sz w:val="32"/>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5">
    <w:name w:val="Body Text"/>
    <w:basedOn w:val="1"/>
    <w:link w:val="16"/>
    <w:qFormat/>
    <w:uiPriority w:val="0"/>
    <w:pPr>
      <w:ind w:left="220"/>
    </w:pPr>
    <w:rPr>
      <w:rFonts w:ascii="宋体" w:hAnsi="宋体"/>
      <w:sz w:val="32"/>
      <w:szCs w:val="32"/>
    </w:rPr>
  </w:style>
  <w:style w:type="paragraph" w:styleId="6">
    <w:name w:val="Plain Text"/>
    <w:basedOn w:val="1"/>
    <w:unhideWhenUsed/>
    <w:qFormat/>
    <w:uiPriority w:val="99"/>
    <w:rPr>
      <w:rFonts w:ascii="宋体" w:hAnsi="Courier New" w:cs="Courier New"/>
      <w:sz w:val="21"/>
      <w:szCs w:val="21"/>
    </w:rPr>
  </w:style>
  <w:style w:type="paragraph" w:styleId="7">
    <w:name w:val="Balloon Text"/>
    <w:basedOn w:val="1"/>
    <w:link w:val="20"/>
    <w:unhideWhenUsed/>
    <w:qFormat/>
    <w:uiPriority w:val="0"/>
    <w:rPr>
      <w:sz w:val="18"/>
      <w:szCs w:val="18"/>
    </w:rPr>
  </w:style>
  <w:style w:type="paragraph" w:styleId="8">
    <w:name w:val="footer"/>
    <w:basedOn w:val="1"/>
    <w:link w:val="19"/>
    <w:qFormat/>
    <w:uiPriority w:val="99"/>
    <w:pPr>
      <w:tabs>
        <w:tab w:val="center" w:pos="4153"/>
        <w:tab w:val="right" w:pos="8306"/>
      </w:tabs>
      <w:snapToGrid w:val="0"/>
    </w:pPr>
    <w:rPr>
      <w:sz w:val="18"/>
      <w:szCs w:val="18"/>
    </w:rPr>
  </w:style>
  <w:style w:type="paragraph" w:styleId="9">
    <w:name w:val="header"/>
    <w:basedOn w:val="1"/>
    <w:link w:val="18"/>
    <w:qFormat/>
    <w:uiPriority w:val="0"/>
    <w:pPr>
      <w:pBdr>
        <w:bottom w:val="single" w:color="auto" w:sz="6" w:space="1"/>
      </w:pBdr>
      <w:tabs>
        <w:tab w:val="center" w:pos="4153"/>
        <w:tab w:val="right" w:pos="8306"/>
      </w:tabs>
      <w:snapToGrid w:val="0"/>
      <w:jc w:val="center"/>
    </w:pPr>
    <w:rPr>
      <w:sz w:val="18"/>
      <w:szCs w:val="18"/>
    </w:rPr>
  </w:style>
  <w:style w:type="paragraph" w:styleId="10">
    <w:name w:val="Normal (Web)"/>
    <w:basedOn w:val="1"/>
    <w:qFormat/>
    <w:uiPriority w:val="0"/>
    <w:pPr>
      <w:spacing w:before="100" w:beforeAutospacing="1" w:after="100" w:afterAutospacing="1"/>
    </w:pPr>
    <w:rPr>
      <w:sz w:val="24"/>
      <w:szCs w:val="24"/>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4">
    <w:name w:val="标题 1 字符"/>
    <w:link w:val="2"/>
    <w:qFormat/>
    <w:uiPriority w:val="0"/>
    <w:rPr>
      <w:rFonts w:ascii="宋体" w:hAnsi="宋体"/>
      <w:sz w:val="42"/>
      <w:szCs w:val="42"/>
    </w:rPr>
  </w:style>
  <w:style w:type="character" w:customStyle="1" w:styleId="15">
    <w:name w:val="标题 2 字符"/>
    <w:link w:val="3"/>
    <w:qFormat/>
    <w:uiPriority w:val="0"/>
    <w:rPr>
      <w:rFonts w:ascii="Arial" w:hAnsi="Arial" w:eastAsia="黑体"/>
      <w:b/>
      <w:sz w:val="32"/>
    </w:rPr>
  </w:style>
  <w:style w:type="character" w:customStyle="1" w:styleId="16">
    <w:name w:val="正文文本 字符"/>
    <w:link w:val="5"/>
    <w:qFormat/>
    <w:uiPriority w:val="0"/>
    <w:rPr>
      <w:rFonts w:ascii="宋体" w:hAnsi="宋体"/>
      <w:sz w:val="32"/>
      <w:szCs w:val="32"/>
    </w:rPr>
  </w:style>
  <w:style w:type="character" w:customStyle="1" w:styleId="17">
    <w:name w:val="标题 3 字符"/>
    <w:link w:val="4"/>
    <w:qFormat/>
    <w:uiPriority w:val="0"/>
    <w:rPr>
      <w:b/>
      <w:sz w:val="32"/>
    </w:rPr>
  </w:style>
  <w:style w:type="character" w:customStyle="1" w:styleId="18">
    <w:name w:val="页眉 字符"/>
    <w:basedOn w:val="13"/>
    <w:link w:val="9"/>
    <w:qFormat/>
    <w:uiPriority w:val="0"/>
    <w:rPr>
      <w:rFonts w:ascii="Calibri" w:hAnsi="Calibri"/>
      <w:sz w:val="18"/>
      <w:szCs w:val="18"/>
      <w:lang w:eastAsia="en-US"/>
    </w:rPr>
  </w:style>
  <w:style w:type="character" w:customStyle="1" w:styleId="19">
    <w:name w:val="页脚 字符"/>
    <w:basedOn w:val="13"/>
    <w:link w:val="8"/>
    <w:qFormat/>
    <w:uiPriority w:val="99"/>
    <w:rPr>
      <w:rFonts w:ascii="Calibri" w:hAnsi="Calibri"/>
      <w:sz w:val="18"/>
      <w:szCs w:val="18"/>
      <w:lang w:eastAsia="en-US"/>
    </w:rPr>
  </w:style>
  <w:style w:type="character" w:customStyle="1" w:styleId="20">
    <w:name w:val="批注框文本 字符"/>
    <w:basedOn w:val="13"/>
    <w:link w:val="7"/>
    <w:semiHidden/>
    <w:qFormat/>
    <w:uiPriority w:val="0"/>
    <w:rPr>
      <w:rFonts w:ascii="Calibri" w:hAnsi="Calibri"/>
      <w:sz w:val="18"/>
      <w:szCs w:val="18"/>
      <w:lang w:eastAsia="en-U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3586</Words>
  <Characters>3958</Characters>
  <Lines>22</Lines>
  <Paragraphs>6</Paragraphs>
  <TotalTime>3</TotalTime>
  <ScaleCrop>false</ScaleCrop>
  <LinksUpToDate>false</LinksUpToDate>
  <CharactersWithSpaces>4032</CharactersWithSpaces>
  <Application>WPS Office_11.8.2.1127_F1E327BC-269C-435d-A152-05C5408002CA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2019-08-22T08:25:00Z</dcterms:created>
  <dc:creator>林振顺</dc:creator>
  <cp:lastModifiedBy>null</cp:lastModifiedBy>
  <cp:lastPrinted>2024-04-11T19:48:00Z</cp:lastPrinted>
  <dcterms:modified xsi:type="dcterms:W3CDTF">2024-04-18T15:38:38Z</dcterms:modified>
  <cp:revision>58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2052-11.8.2.1127</vt:lpwstr>
  </property>
  <property fmtid="{D5CDD505-2E9C-101B-9397-08002B2CF9AE}" pid="3" name="ICV">
    <vt:lpwstr>90D7A4047D019E3F095E176689DDFCD5</vt:lpwstr>
  </property>
</Properties>
</file>