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文泉驿微米黑" w:hAnsi="文泉驿微米黑" w:eastAsia="文泉驿微米黑" w:cs="文泉驿微米黑"/>
          <w:color w:val="000000"/>
          <w:sz w:val="32"/>
          <w:szCs w:val="32"/>
        </w:rPr>
      </w:pP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</w:rPr>
        <w:t>监督管理局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  <w:t>（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36"/>
          <w:szCs w:val="36"/>
          <w:lang w:eastAsia="zh-CN"/>
        </w:rPr>
        <w:t>福州药品稽查办公室</w:t>
      </w: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</w:rPr>
      </w:pPr>
      <w:r>
        <w:rPr>
          <w:rFonts w:hint="eastAsia" w:ascii="文泉驿微米黑" w:hAnsi="文泉驿微米黑" w:eastAsia="文泉驿微米黑" w:cs="文泉驿微米黑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center"/>
        <w:textAlignment w:val="auto"/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eastAsia="zh-CN"/>
        </w:rPr>
        <w:t>闽药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监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eastAsia="zh-CN"/>
        </w:rPr>
        <w:t>榕稽办行罚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〔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  <w:t>2023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〕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  <w:t>24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号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right="0" w:rightChars="0"/>
        <w:jc w:val="center"/>
        <w:textAlignment w:val="auto"/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0" w:firstLineChars="0"/>
        <w:textAlignment w:val="auto"/>
        <w:outlineLvl w:val="9"/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当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eastAsia="zh-CN"/>
        </w:rPr>
        <w:t>事人：</w:t>
      </w:r>
      <w:r>
        <w:rPr>
          <w:rFonts w:hint="eastAsia" w:ascii="CESI仿宋-GB13000" w:hAnsi="CESI仿宋-GB13000" w:eastAsia="CESI仿宋-GB13000" w:cs="CESI仿宋-GB13000"/>
          <w:i w:val="0"/>
          <w:caps w:val="0"/>
          <w:color w:val="auto"/>
          <w:spacing w:val="0"/>
          <w:sz w:val="32"/>
          <w:szCs w:val="32"/>
          <w:shd w:val="clear"/>
          <w:lang w:val="en-US" w:eastAsia="zh-CN" w:bidi="ar-SA"/>
        </w:rPr>
        <w:t>福建国瑞药业有限公司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left="140" w:right="0" w:rightChars="0" w:hanging="140"/>
        <w:textAlignment w:val="auto"/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主体资格证照名称：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eastAsia="zh-CN"/>
        </w:rPr>
        <w:t>营业执照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right="0" w:rightChars="0"/>
        <w:jc w:val="both"/>
        <w:textAlignment w:val="auto"/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统一社会信用代码（注册号）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eastAsia="zh-CN"/>
        </w:rPr>
        <w:t>：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val="en-US" w:eastAsia="zh-CN"/>
        </w:rPr>
        <w:t>9135010066506053</w:t>
      </w:r>
      <w:r>
        <w:rPr>
          <w:rFonts w:hint="default" w:ascii="CESI仿宋-GB2312" w:hAnsi="CESI仿宋-GB2312" w:eastAsia="CESI仿宋-GB2312" w:cs="CESI仿宋-GB2312"/>
          <w:kern w:val="1"/>
          <w:sz w:val="32"/>
          <w:szCs w:val="32"/>
          <w:lang w:eastAsia="zh-CN"/>
        </w:rPr>
        <w:t>4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val="en-US" w:eastAsia="zh-CN"/>
        </w:rPr>
        <w:t>B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pacing w:line="440" w:lineRule="exact"/>
        <w:jc w:val="left"/>
        <w:textAlignment w:val="auto"/>
        <w:rPr>
          <w:rFonts w:hint="default" w:ascii="CESI仿宋-GB2312" w:hAnsi="CESI仿宋-GB2312" w:eastAsia="CESI仿宋-GB2312" w:cs="CESI仿宋-GB2312"/>
          <w:color w:val="auto"/>
          <w:sz w:val="32"/>
          <w:szCs w:val="32"/>
          <w:lang w:val="en-US"/>
        </w:rPr>
      </w:pP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</w:rPr>
        <w:t>住所（住址）：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val="en-US" w:eastAsia="zh-CN"/>
        </w:rPr>
        <w:t>福建省福州市马尾区魁岐路136号福州物联网产业创新发展中心1号楼21层（自贸试验区内）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left="140" w:right="0" w:rightChars="0" w:hanging="140"/>
        <w:jc w:val="both"/>
        <w:textAlignment w:val="auto"/>
        <w:rPr>
          <w:rFonts w:hint="default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法定代表人（负责人、经营者）：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val="en-US" w:eastAsia="zh-CN"/>
        </w:rPr>
        <w:t>黄巧霞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right="0" w:rightChars="0"/>
        <w:jc w:val="both"/>
        <w:textAlignment w:val="auto"/>
        <w:rPr>
          <w:rFonts w:hint="default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身份证（其他有效证件）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eastAsia="zh-CN"/>
        </w:rPr>
        <w:t>号码：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val="en-US" w:eastAsia="zh-CN"/>
        </w:rPr>
        <w:t>***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40" w:lineRule="exact"/>
        <w:ind w:left="140" w:right="0" w:rightChars="0" w:hanging="140"/>
        <w:jc w:val="both"/>
        <w:textAlignment w:val="auto"/>
        <w:rPr>
          <w:rFonts w:hint="default" w:ascii="CESI仿宋-GB2312" w:hAnsi="CESI仿宋-GB2312" w:eastAsia="CESI仿宋-GB2312" w:cs="CESI仿宋-GB2312"/>
          <w:color w:val="auto"/>
          <w:kern w:val="1"/>
          <w:sz w:val="32"/>
          <w:szCs w:val="32"/>
          <w:u w:val="none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联系电话：</w:t>
      </w:r>
      <w:r>
        <w:rPr>
          <w:rFonts w:hint="eastAsia" w:ascii="CESI仿宋-GB2312" w:hAnsi="CESI仿宋-GB2312" w:eastAsia="CESI仿宋-GB2312" w:cs="CESI仿宋-GB2312"/>
          <w:color w:val="000000"/>
          <w:sz w:val="24"/>
          <w:lang w:val="en-US" w:eastAsia="zh-CN"/>
        </w:rPr>
        <w:t xml:space="preserve"> </w:t>
      </w:r>
      <w:r>
        <w:rPr>
          <w:rFonts w:hint="eastAsia" w:ascii="CESI仿宋-GB13000" w:hAnsi="CESI仿宋-GB13000" w:eastAsia="CESI仿宋-GB13000" w:cs="CESI仿宋-GB13000"/>
          <w:color w:val="00000A"/>
          <w:sz w:val="32"/>
          <w:szCs w:val="32"/>
          <w:lang w:val="en-US" w:eastAsia="zh-CN"/>
        </w:rPr>
        <w:t>***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pacing w:line="440" w:lineRule="exact"/>
        <w:jc w:val="left"/>
        <w:textAlignment w:val="auto"/>
        <w:rPr>
          <w:rFonts w:hint="default"/>
          <w:lang w:val="en-US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联系地址：</w:t>
      </w:r>
      <w:r>
        <w:rPr>
          <w:rFonts w:hint="eastAsia" w:ascii="CESI仿宋-GB2312" w:hAnsi="CESI仿宋-GB2312" w:eastAsia="CESI仿宋-GB2312" w:cs="CESI仿宋-GB2312"/>
          <w:kern w:val="1"/>
          <w:sz w:val="32"/>
          <w:szCs w:val="32"/>
          <w:lang w:val="en-US" w:eastAsia="zh-CN"/>
        </w:rPr>
        <w:t>***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0" w:rightChars="0" w:firstLine="640" w:firstLineChars="200"/>
        <w:jc w:val="both"/>
        <w:textAlignment w:val="auto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  <w:lang w:val="en-US" w:eastAsia="zh-CN"/>
        </w:rPr>
        <w:t>经调查，当事人销售的荨麻疹丸（标示生产企业：吉林龙泰制药股份有限公司，包装：10克/袋X9袋/盒，批号：220604）经检验装量差异不符合规定。依照《药品管理法》第九十八条第三款第（七）项规定，应为劣药。经核实，上述批次荨麻疹丸共采购1476盒，退回供应商18盒，实际销售1458盒，销售金额为15104.59元。同时，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当事人在采购、验收、储存、销售上述药品过程中，未发现异常，符合《药品管理法实施条例》第七十五条的规定的情形。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以上事实有检验报告书、购进记录、现场笔录、调查询问笔录、采购订单、销售记录、购销凭证、温湿度数据波形图、照片等证据为证。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2024年3月20日，本办将行政处罚告知书依法送达当事人，并告知当事人具有陈述申辩的权利。截止3月28日，当事人未提起陈述和申辩。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当事人销售劣药荨麻疹丸的行为，违反了《中华人民共和国药品管理法》第九十八条第一款的规定。依照《行政处罚法》第二十八条、《药品管理法》第一百一十七条第一款和《药品管理法实施条例》（2019年修正）第七十五条的规定，责令当事人改正违法行为并作如下处罚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1.没收销售劣药荨麻疹丸违法所得15104.59元；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2.免于其他行政处罚。　</w:t>
      </w:r>
      <w:r>
        <w:rPr>
          <w:rFonts w:hint="eastAsia" w:ascii="仿宋" w:hAnsi="仿宋" w:eastAsia="仿宋" w:cs="仿宋"/>
          <w:sz w:val="32"/>
          <w:szCs w:val="32"/>
        </w:rPr>
        <w:t>　</w:t>
      </w: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right="0" w:rightChars="0" w:firstLine="640" w:firstLineChars="200"/>
        <w:textAlignment w:val="auto"/>
        <w:outlineLvl w:val="9"/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</w:rPr>
      </w:pPr>
      <w:r>
        <w:rPr>
          <w:rFonts w:hint="eastAsia" w:ascii="CESI仿宋-GB13000" w:hAnsi="CESI仿宋-GB13000" w:eastAsia="CESI仿宋-GB13000" w:cs="CESI仿宋-GB13000"/>
          <w:color w:val="auto"/>
          <w:sz w:val="32"/>
          <w:szCs w:val="32"/>
          <w:lang w:val="en-US" w:eastAsia="zh-CN"/>
        </w:rPr>
        <w:t>依据《中华人民共和国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行政处罚法》第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六十七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条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lang w:eastAsia="zh-CN"/>
        </w:rPr>
        <w:t>第三款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  <w:t>规定，</w:t>
      </w:r>
      <w:r>
        <w:rPr>
          <w:rFonts w:hint="eastAsia" w:ascii="CESI仿宋-GB2312" w:hAnsi="CESI仿宋-GB2312" w:eastAsia="CESI仿宋-GB2312" w:cs="CESI仿宋-GB2312"/>
          <w:color w:val="auto"/>
          <w:kern w:val="1"/>
          <w:sz w:val="32"/>
          <w:szCs w:val="32"/>
        </w:rPr>
        <w:t>当事人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接到本行政处罚决定之日起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15日内携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val="en-US" w:eastAsia="zh-CN"/>
        </w:rPr>
        <w:t>福建省药品监督管理局福州药品稽查办公室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val="en-US" w:eastAsia="zh-CN"/>
        </w:rPr>
        <w:t>开具的行政罚没缴款通知书，至各银行网点或者通过电子支付系统缴纳并将缴纳凭证送交我办。到期不缴纳罚款的，依据《中华人民共和国行政处罚法》第七十二条第一款第（一）项的规定，本办将每日按罚款数额的百分之三加处罚款，并依法申请人民法院强制执行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。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</w:rPr>
        <w:t xml:space="preserve">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1"/>
        <w:jc w:val="both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eastAsia="zh-CN"/>
        </w:rPr>
        <w:t>六十日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内向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eastAsia="zh-CN"/>
        </w:rPr>
        <w:t>福建省人民政府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申请行政复议；也可以在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single"/>
          <w:lang w:eastAsia="zh-CN"/>
        </w:rPr>
        <w:t>六个月</w:t>
      </w:r>
      <w:r>
        <w:rPr>
          <w:rFonts w:hint="eastAsia" w:ascii="CESI仿宋-GB2312" w:hAnsi="CESI仿宋-GB2312" w:eastAsia="CESI仿宋-GB2312" w:cs="CESI仿宋-GB2312"/>
          <w:color w:val="auto"/>
          <w:sz w:val="32"/>
          <w:szCs w:val="32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40" w:lineRule="exact"/>
        <w:jc w:val="both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4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4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　　　　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福建省药品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监督管理局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40" w:lineRule="exact"/>
        <w:ind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福州药品稽查办公室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40" w:lineRule="exact"/>
        <w:ind w:right="640" w:firstLine="601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 xml:space="preserve">                 （印 章）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440" w:lineRule="exact"/>
        <w:ind w:right="640" w:firstLine="600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 xml:space="preserve">                 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2024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年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3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月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-US" w:eastAsia="zh-CN"/>
        </w:rPr>
        <w:t>28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440" w:lineRule="exact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eastAsia="zh-CN"/>
        </w:rPr>
        <w:t>（我局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320" w:firstLineChars="1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12065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.95pt;margin-top:0.95pt;height:0.05pt;width:437.05pt;z-index:251662336;mso-width-relative:page;mso-height-relative:page;" filled="f" stroked="t" coordsize="21600,21600" o:gfxdata="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BYAAABkcnMvUEsBAhQAFAAAAAgAh07i&#10;QBmMvQ3XAAAABwEAAA8AAAAAAAAAAQAgAAAAOAAAAGRycy9kb3ducmV2LnhtbFBLAQIUABQAAAAI&#10;AIdO4kAI0a2l2AEAAJ0DAAAOAAAAAAAAAAEAIAAAADwBAABkcnMvZTJvRG9jLnhtbFBLBQYAAAAA&#10;BgAGAFkBAACG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本文书一式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份，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份送达，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</w:rPr>
        <w:t>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份归档，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none"/>
        </w:rPr>
        <w:t xml:space="preserve"> 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文泉驿微米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文泉驿微米黑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文泉驿微米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51A5D"/>
    <w:rsid w:val="02D568CE"/>
    <w:rsid w:val="0DA82202"/>
    <w:rsid w:val="0FBF1DFA"/>
    <w:rsid w:val="1299763A"/>
    <w:rsid w:val="13951A5D"/>
    <w:rsid w:val="1777B07C"/>
    <w:rsid w:val="1F352B52"/>
    <w:rsid w:val="214F23CD"/>
    <w:rsid w:val="23AFD974"/>
    <w:rsid w:val="36F4C556"/>
    <w:rsid w:val="37FFAB4D"/>
    <w:rsid w:val="3C340AB4"/>
    <w:rsid w:val="3DDBFF8B"/>
    <w:rsid w:val="43941E63"/>
    <w:rsid w:val="452C208B"/>
    <w:rsid w:val="4D9C59BC"/>
    <w:rsid w:val="5678B25B"/>
    <w:rsid w:val="56D41464"/>
    <w:rsid w:val="56EE168E"/>
    <w:rsid w:val="577A0985"/>
    <w:rsid w:val="57F2E2F8"/>
    <w:rsid w:val="5BBE274E"/>
    <w:rsid w:val="6B6E8890"/>
    <w:rsid w:val="6CA0320D"/>
    <w:rsid w:val="6D6A2713"/>
    <w:rsid w:val="6FE58484"/>
    <w:rsid w:val="72DED373"/>
    <w:rsid w:val="77FD2B6B"/>
    <w:rsid w:val="7B5FC468"/>
    <w:rsid w:val="7F7F8EDF"/>
    <w:rsid w:val="7FC76173"/>
    <w:rsid w:val="7FEF00D9"/>
    <w:rsid w:val="9FC67D3C"/>
    <w:rsid w:val="BEFE4861"/>
    <w:rsid w:val="CFEF692B"/>
    <w:rsid w:val="D4B7BE53"/>
    <w:rsid w:val="D9F52B08"/>
    <w:rsid w:val="EFFFCA06"/>
    <w:rsid w:val="F73FDD89"/>
    <w:rsid w:val="F75F048E"/>
    <w:rsid w:val="FADEC6A5"/>
    <w:rsid w:val="FDEDFD24"/>
    <w:rsid w:val="FE7D4C3E"/>
    <w:rsid w:val="FFCF5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2021-10-26T06:38:00Z</dcterms:created>
  <dc:creator>詹德忠/fjfda</dc:creator>
  <cp:lastModifiedBy>魏一平</cp:lastModifiedBy>
  <cp:lastPrinted>2024-04-08T01:12:00Z</cp:lastPrinted>
  <dcterms:modified xsi:type="dcterms:W3CDTF">2024-04-08T08:54:51Z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74281CA161B44D7B8630A1555673DAA1</vt:lpwstr>
  </property>
</Properties>
</file>