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文泉驿微米黑" w:hAnsi="文泉驿微米黑" w:eastAsia="文泉驿微米黑" w:cs="文泉驿微米黑"/>
          <w:color w:val="000000"/>
          <w:sz w:val="32"/>
          <w:szCs w:val="32"/>
        </w:rPr>
      </w:pPr>
      <w:r>
        <w:rPr>
          <w:rFonts w:hint="eastAsia" w:ascii="文泉驿微米黑" w:hAnsi="文泉驿微米黑" w:eastAsia="文泉驿微米黑" w:cs="文泉驿微米黑"/>
          <w:bCs/>
          <w:color w:val="000000"/>
          <w:sz w:val="44"/>
          <w:szCs w:val="44"/>
          <w:lang w:eastAsia="zh-CN"/>
        </w:rPr>
        <w:t>福建省药品</w:t>
      </w:r>
      <w:r>
        <w:rPr>
          <w:rFonts w:hint="eastAsia" w:ascii="文泉驿微米黑" w:hAnsi="文泉驿微米黑" w:eastAsia="文泉驿微米黑" w:cs="文泉驿微米黑"/>
          <w:bCs/>
          <w:color w:val="000000"/>
          <w:sz w:val="44"/>
          <w:szCs w:val="44"/>
        </w:rPr>
        <w:t>监督管理局</w:t>
      </w:r>
      <w:r>
        <w:rPr>
          <w:rFonts w:hint="eastAsia" w:ascii="文泉驿微米黑" w:hAnsi="文泉驿微米黑" w:eastAsia="文泉驿微米黑" w:cs="文泉驿微米黑"/>
          <w:bCs/>
          <w:color w:val="000000"/>
          <w:sz w:val="44"/>
          <w:szCs w:val="44"/>
          <w:lang w:eastAsia="zh-CN"/>
        </w:rPr>
        <w:t>（</w:t>
      </w:r>
      <w:r>
        <w:rPr>
          <w:rFonts w:hint="eastAsia" w:ascii="文泉驿微米黑" w:hAnsi="文泉驿微米黑" w:eastAsia="文泉驿微米黑" w:cs="文泉驿微米黑"/>
          <w:bCs/>
          <w:color w:val="000000"/>
          <w:sz w:val="36"/>
          <w:szCs w:val="36"/>
          <w:lang w:eastAsia="zh-CN"/>
        </w:rPr>
        <w:t>福州药品稽查办公室</w:t>
      </w:r>
      <w:r>
        <w:rPr>
          <w:rFonts w:hint="eastAsia" w:ascii="文泉驿微米黑" w:hAnsi="文泉驿微米黑" w:eastAsia="文泉驿微米黑" w:cs="文泉驿微米黑"/>
          <w:bCs/>
          <w:color w:val="000000"/>
          <w:sz w:val="44"/>
          <w:szCs w:val="4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文泉驿微米黑" w:hAnsi="文泉驿微米黑" w:eastAsia="文泉驿微米黑" w:cs="文泉驿微米黑"/>
          <w:bCs/>
          <w:color w:val="000000"/>
          <w:sz w:val="44"/>
          <w:szCs w:val="44"/>
        </w:rPr>
      </w:pPr>
      <w:r>
        <w:rPr>
          <w:rFonts w:hint="eastAsia" w:ascii="文泉驿微米黑" w:hAnsi="文泉驿微米黑" w:eastAsia="文泉驿微米黑" w:cs="文泉驿微米黑"/>
          <w:bCs/>
          <w:color w:val="000000"/>
          <w:sz w:val="44"/>
          <w:szCs w:val="44"/>
        </w:rPr>
        <w:t>行政处罚决定书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/>
        <w:jc w:val="center"/>
        <w:textAlignment w:val="auto"/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20802600</wp:posOffset>
                </wp:positionV>
                <wp:extent cx="5761990" cy="1270"/>
                <wp:effectExtent l="0" t="0" r="0" b="0"/>
                <wp:wrapNone/>
                <wp:docPr id="10" name="直接箭头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1990" cy="1270"/>
                        </a:xfrm>
                        <a:prstGeom prst="straightConnector1">
                          <a:avLst/>
                        </a:prstGeom>
                        <a:ln w="1905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pt;margin-top:1638pt;height:0.1pt;width:453.7pt;z-index:251659264;mso-width-relative:page;mso-height-relative:page;" filled="f" stroked="t" coordsize="21600,21600" o:gfxdata="UEsFBgAAAAAAAAAAAAAAAAAAAAAAAFBLAwQKAAAAAACHTuJAAAAAAAAAAAAAAAAABAAAAGRycy9Q&#10;SwMEFAAAAAgAh07iQIteKJraAAAACwEAAA8AAABkcnMvZG93bnJldi54bWxNj0tPwzAQhO9I/Adr&#10;kbhRO2kpEOJUqAghLlEfHDi68RJHxOsodh/w61nEAW67O6PZb8rFyffigGPsAmnIJgoEUhNsR62G&#10;1+3T1S2ImAxZ0wdCDZ8YYVGdn5WmsOFIazxsUis4hGJhNLiUhkLK2Dj0Jk7CgMTaexi9SbyOrbSj&#10;OXK472Wu1Fx60xF/cGbApcPmY7P3Gurly3NS16vVunZv+XbaPNbx4Uvry4tM3YNIeEp/ZvjBZ3So&#10;mGkX9mSj6DXMuEnSMM1v5jyx4S7LZiB2v6ccZFXK/x2qb1BLAwQUAAAACACHTuJABOtN3OoBAACw&#10;AwAADgAAAGRycy9lMm9Eb2MueG1srVNLjhMxEN0jcQfLe9JJpJkhrXRmkTBsEEQCDlCx3d2W/MNl&#10;0skluAASK2AFrGbPaWA4BmUnhAE2CNELd5XL9arec3l+ubOGbVVE7V3DJ6MxZ8oJL7XrGv782dW9&#10;+5xhAifBeKcavlfILxd378yHUKup772RKjICcVgPoeF9SqGuKhS9soAjH5SjYOujhURu7CoZYSB0&#10;a6rpeHxeDT7KEL1QiLS7OgT5ouC3rRLpSduiSsw0nHpLZY1l3eS1Wsyh7iKEXotjG/APXVjQjoqe&#10;oFaQgL2M+g8oq0X06Ns0Et5Wvm21UIUDsZmMf2PztIegChcSB8NJJvx/sOLxdh2ZlnR3JI8DS3d0&#10;8/r666t3N58+fnl7/e3zm2x/eM8oTmINAWvKWbp1PHoY1jEz37XR5j9xYrsi8P4ksNolJmjz7OJ8&#10;MptRIUGxyfSiQFY/c0PE9FB5y7LRcEwRdNenpXeObtLHSdEYto8wUXVK/JGQCxvHBkKdjc9yAaBh&#10;whdk2EDk0HUlFb3R8kobkxMwdpuliWwLeTjKlykS7C/Hco0VYH84V0KHsekVyAdOsrQPpJqj+ea5&#10;A6skZ0bRc8gWAUKdQJu/OUmljcsJqozukWbW/KBytjZe7ov4VfZoLErHxxHOc3fbJ/v2Q1t8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IteKJraAAAACwEAAA8AAAAAAAAAAQAgAAAAOAAAAGRycy9k&#10;b3ducmV2LnhtbFBLAQIUABQAAAAIAIdO4kAE603c6gEAALADAAAOAAAAAAAAAAEAIAAAAD8BAABk&#10;cnMvZTJvRG9jLnhtbFBLBQYAAAAABgAGAFkBAACbBQAAAAA=&#10;">
                <v:fill on="f" focussize="0,0"/>
                <v:stroke weight="1.5pt" color="#000000" joinstyle="round" endcap="square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  <w:lang w:eastAsia="zh-CN"/>
        </w:rPr>
        <w:t>闽药</w:t>
      </w: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  <w:t>监</w:t>
      </w: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  <w:lang w:eastAsia="zh-CN"/>
        </w:rPr>
        <w:t>榕稽办行罚</w:t>
      </w: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  <w:t>〔</w:t>
      </w: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  <w:lang w:val="en-US" w:eastAsia="zh-CN"/>
        </w:rPr>
        <w:t>2023</w:t>
      </w: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  <w:t>〕</w:t>
      </w: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  <w:lang w:val="en-US" w:eastAsia="zh-CN"/>
        </w:rPr>
        <w:t>2</w:t>
      </w: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  <w:t>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/>
        <w:jc w:val="center"/>
        <w:textAlignment w:val="auto"/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0" w:firstLineChars="0"/>
        <w:textAlignment w:val="auto"/>
        <w:outlineLvl w:val="9"/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kern w:val="1"/>
          <w:sz w:val="32"/>
          <w:szCs w:val="32"/>
        </w:rPr>
        <w:t>当事人：</w:t>
      </w:r>
      <w:r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eastAsia="zh-CN"/>
        </w:rPr>
        <w:t>福建中源医药有限公司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40" w:right="0" w:rightChars="0" w:hanging="140"/>
        <w:textAlignment w:val="auto"/>
        <w:rPr>
          <w:rFonts w:hint="eastAsia" w:ascii="CESI仿宋-GB2312" w:hAnsi="CESI仿宋-GB2312" w:eastAsia="CESI仿宋-GB2312" w:cs="CESI仿宋-GB2312"/>
          <w:kern w:val="1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1"/>
          <w:sz w:val="32"/>
          <w:szCs w:val="32"/>
        </w:rPr>
        <w:t>主体资格证照名称：</w:t>
      </w:r>
      <w:r>
        <w:rPr>
          <w:rFonts w:hint="eastAsia" w:ascii="CESI仿宋-GB2312" w:hAnsi="CESI仿宋-GB2312" w:eastAsia="CESI仿宋-GB2312" w:cs="CESI仿宋-GB2312"/>
          <w:kern w:val="1"/>
          <w:sz w:val="32"/>
          <w:szCs w:val="32"/>
          <w:lang w:eastAsia="zh-CN"/>
        </w:rPr>
        <w:t>营业执照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both"/>
        <w:textAlignment w:val="auto"/>
        <w:rPr>
          <w:rFonts w:hint="eastAsia" w:ascii="CESI仿宋-GB2312" w:hAnsi="CESI仿宋-GB2312" w:eastAsia="CESI仿宋-GB2312" w:cs="CESI仿宋-GB2312"/>
          <w:kern w:val="1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kern w:val="1"/>
          <w:sz w:val="32"/>
          <w:szCs w:val="32"/>
        </w:rPr>
        <w:t>统一社会信用代码（注册号）：</w:t>
      </w:r>
      <w:r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  <w:t>91350100751375209T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40" w:lineRule="exact"/>
        <w:ind w:left="2080" w:right="0" w:rightChars="0" w:hanging="2080" w:hangingChars="650"/>
        <w:jc w:val="left"/>
        <w:textAlignment w:val="auto"/>
        <w:rPr>
          <w:rFonts w:hint="eastAsia" w:ascii="CESI仿宋-GB13000" w:hAnsi="CESI仿宋-GB13000" w:eastAsia="CESI仿宋-GB13000" w:cs="CESI仿宋-GB1300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kern w:val="1"/>
          <w:sz w:val="32"/>
          <w:szCs w:val="32"/>
        </w:rPr>
        <w:t>住所（住址）：</w:t>
      </w:r>
      <w:r>
        <w:rPr>
          <w:rFonts w:hint="eastAsia" w:ascii="CESI仿宋-GB13000" w:hAnsi="CESI仿宋-GB13000" w:eastAsia="CESI仿宋-GB13000" w:cs="CESI仿宋-GB13000"/>
          <w:color w:val="auto"/>
          <w:spacing w:val="0"/>
          <w:sz w:val="32"/>
          <w:szCs w:val="32"/>
          <w:lang w:val="en-US" w:eastAsia="zh-CN"/>
        </w:rPr>
        <w:t>福建省福州市仓山区齐安路772号鸿博光电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40" w:lineRule="exact"/>
        <w:ind w:left="2080" w:right="0" w:rightChars="0" w:hanging="2080" w:hangingChars="650"/>
        <w:jc w:val="left"/>
        <w:textAlignment w:val="auto"/>
        <w:rPr>
          <w:rFonts w:hint="default" w:ascii="CESI仿宋-GB2312" w:hAnsi="CESI仿宋-GB2312" w:eastAsia="CESI仿宋-GB2312" w:cs="CESI仿宋-GB2312"/>
          <w:color w:val="auto"/>
          <w:sz w:val="32"/>
          <w:szCs w:val="32"/>
          <w:lang w:val="en-US"/>
        </w:rPr>
      </w:pPr>
      <w:r>
        <w:rPr>
          <w:rFonts w:hint="eastAsia" w:ascii="CESI仿宋-GB13000" w:hAnsi="CESI仿宋-GB13000" w:eastAsia="CESI仿宋-GB13000" w:cs="CESI仿宋-GB13000"/>
          <w:color w:val="auto"/>
          <w:spacing w:val="0"/>
          <w:sz w:val="32"/>
          <w:szCs w:val="32"/>
          <w:lang w:val="en-US" w:eastAsia="zh-CN"/>
        </w:rPr>
        <w:t>园10#楼二层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40" w:right="0" w:rightChars="0" w:hanging="140"/>
        <w:jc w:val="both"/>
        <w:textAlignment w:val="auto"/>
        <w:rPr>
          <w:rFonts w:hint="default" w:ascii="CESI仿宋-GB2312" w:hAnsi="CESI仿宋-GB2312" w:eastAsia="CESI仿宋-GB2312" w:cs="CESI仿宋-GB2312"/>
          <w:color w:val="auto"/>
          <w:kern w:val="1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  <w:t>法定代表人（负责人、经营者）：</w:t>
      </w:r>
      <w:r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  <w:t>***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both"/>
        <w:textAlignment w:val="auto"/>
        <w:rPr>
          <w:rFonts w:hint="default" w:ascii="CESI仿宋-GB2312" w:hAnsi="CESI仿宋-GB2312" w:eastAsia="CESI仿宋-GB2312" w:cs="CESI仿宋-GB2312"/>
          <w:color w:val="auto"/>
          <w:kern w:val="1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  <w:t>身份证（其他有效证件）</w:t>
      </w:r>
      <w:r>
        <w:rPr>
          <w:rFonts w:hint="eastAsia" w:ascii="CESI仿宋-GB13000" w:hAnsi="CESI仿宋-GB13000" w:eastAsia="CESI仿宋-GB13000" w:cs="CESI仿宋-GB13000"/>
          <w:color w:val="00000A"/>
          <w:sz w:val="32"/>
          <w:szCs w:val="32"/>
          <w:lang w:eastAsia="zh-CN"/>
        </w:rPr>
        <w:t>号码：</w:t>
      </w:r>
      <w:r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  <w:t>***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40" w:right="0" w:rightChars="0" w:hanging="140"/>
        <w:jc w:val="both"/>
        <w:textAlignment w:val="auto"/>
        <w:rPr>
          <w:rFonts w:hint="default" w:ascii="CESI仿宋-GB2312" w:hAnsi="CESI仿宋-GB2312" w:eastAsia="CESI仿宋-GB2312" w:cs="CESI仿宋-GB2312"/>
          <w:color w:val="auto"/>
          <w:kern w:val="1"/>
          <w:sz w:val="32"/>
          <w:szCs w:val="32"/>
          <w:u w:val="none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  <w:t>联系电话：</w:t>
      </w:r>
      <w:r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  <w:t>***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40" w:lineRule="exact"/>
        <w:ind w:left="2080" w:right="0" w:rightChars="0" w:hanging="2080" w:hangingChars="650"/>
        <w:jc w:val="left"/>
        <w:textAlignment w:val="auto"/>
        <w:rPr>
          <w:rFonts w:hint="eastAsia" w:ascii="CESI仿宋-GB13000" w:hAnsi="CESI仿宋-GB13000" w:eastAsia="CESI仿宋-GB13000" w:cs="CESI仿宋-GB1300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  <w:t>联系地址：</w:t>
      </w:r>
      <w:r>
        <w:rPr>
          <w:rFonts w:hint="eastAsia" w:ascii="CESI仿宋-GB13000" w:hAnsi="CESI仿宋-GB13000" w:eastAsia="CESI仿宋-GB13000" w:cs="CESI仿宋-GB13000"/>
          <w:color w:val="auto"/>
          <w:spacing w:val="0"/>
          <w:sz w:val="32"/>
          <w:szCs w:val="32"/>
          <w:lang w:val="en-US" w:eastAsia="zh-CN"/>
        </w:rPr>
        <w:t>福建省福州市仓山区齐安路772号鸿博光电园10#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40" w:lineRule="exact"/>
        <w:ind w:left="2080" w:right="0" w:rightChars="0" w:hanging="2080" w:hangingChars="650"/>
        <w:jc w:val="left"/>
        <w:textAlignment w:val="auto"/>
        <w:rPr>
          <w:rFonts w:hint="eastAsia" w:ascii="CESI仿宋-GB13000" w:hAnsi="CESI仿宋-GB13000" w:eastAsia="CESI仿宋-GB13000" w:cs="CESI仿宋-GB1300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CESI仿宋-GB13000" w:hAnsi="CESI仿宋-GB13000" w:eastAsia="CESI仿宋-GB13000" w:cs="CESI仿宋-GB13000"/>
          <w:color w:val="auto"/>
          <w:spacing w:val="0"/>
          <w:sz w:val="32"/>
          <w:szCs w:val="32"/>
          <w:lang w:val="en-US" w:eastAsia="zh-CN"/>
        </w:rPr>
        <w:t>楼二层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80" w:lineRule="exact"/>
        <w:ind w:right="0" w:rightChars="0" w:firstLine="640" w:firstLineChars="200"/>
        <w:jc w:val="left"/>
        <w:textAlignment w:val="auto"/>
        <w:rPr>
          <w:rFonts w:hint="eastAsia" w:ascii="CESI仿宋-GB13000" w:hAnsi="CESI仿宋-GB13000" w:eastAsia="CESI仿宋-GB13000" w:cs="CESI仿宋-GB13000"/>
          <w:color w:val="auto"/>
          <w:kern w:val="2"/>
          <w:sz w:val="32"/>
          <w:szCs w:val="32"/>
          <w:lang w:val="en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40" w:lineRule="exact"/>
        <w:ind w:right="0" w:rightChars="0" w:firstLine="640" w:firstLineChars="200"/>
        <w:jc w:val="left"/>
        <w:textAlignment w:val="auto"/>
        <w:rPr>
          <w:rFonts w:hint="eastAsia" w:ascii="CESI仿宋-GB13000" w:hAnsi="CESI仿宋-GB13000" w:eastAsia="CESI仿宋-GB13000" w:cs="CESI仿宋-GB1300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3000" w:hAnsi="CESI仿宋-GB13000" w:eastAsia="CESI仿宋-GB13000" w:cs="CESI仿宋-GB13000"/>
          <w:color w:val="auto"/>
          <w:kern w:val="2"/>
          <w:sz w:val="32"/>
          <w:szCs w:val="32"/>
          <w:lang w:val="en" w:eastAsia="zh-CN" w:bidi="ar-SA"/>
        </w:rPr>
        <w:t>经调查，当事人</w:t>
      </w:r>
      <w:r>
        <w:rPr>
          <w:rFonts w:hint="eastAsia" w:ascii="CESI仿宋-GB13000" w:hAnsi="CESI仿宋-GB13000" w:eastAsia="CESI仿宋-GB13000" w:cs="CESI仿宋-GB13000"/>
          <w:color w:val="auto"/>
          <w:kern w:val="2"/>
          <w:sz w:val="32"/>
          <w:szCs w:val="32"/>
          <w:lang w:val="en-US" w:eastAsia="zh-CN" w:bidi="ar-SA"/>
        </w:rPr>
        <w:t>套用合法购货单位资质向未取得《医疗机构执业许可证》的单位或个人销售药品及销售药品未做到票账货款一致、部分药品销售流向不明等，分别违反了《药品流通监督管理办法》第十三条、《药品管理法》第五十三条的规定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jc w:val="left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 w:ascii="CESI仿宋-GB13000" w:hAnsi="CESI仿宋-GB13000" w:eastAsia="CESI仿宋-GB13000" w:cs="CESI仿宋-GB13000"/>
          <w:color w:val="auto"/>
          <w:kern w:val="2"/>
          <w:sz w:val="32"/>
          <w:szCs w:val="32"/>
          <w:lang w:val="en-US" w:eastAsia="zh-CN" w:bidi="ar-SA"/>
        </w:rPr>
        <w:t>以上事实有《线索移送函》（榕晋公函[2022]145号）、</w:t>
      </w:r>
      <w:r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eastAsia="zh-CN"/>
        </w:rPr>
        <w:t>现场检查笔录、</w:t>
      </w:r>
      <w:r>
        <w:rPr>
          <w:rFonts w:hint="eastAsia" w:ascii="CESI仿宋-GB13000" w:hAnsi="CESI仿宋-GB13000" w:eastAsia="CESI仿宋-GB13000" w:cs="CESI仿宋-GB13000"/>
          <w:color w:val="auto"/>
          <w:kern w:val="2"/>
          <w:sz w:val="32"/>
          <w:szCs w:val="32"/>
          <w:lang w:val="en" w:eastAsia="zh-CN" w:bidi="ar-SA"/>
        </w:rPr>
        <w:t>当事人电脑系统销售记录、随货同行单、销售增值税发票复印件、电子回单及</w:t>
      </w:r>
      <w:r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  <w:t>余*</w:t>
      </w:r>
      <w:bookmarkStart w:id="0" w:name="_GoBack"/>
      <w:bookmarkEnd w:id="0"/>
      <w:r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  <w:t>等相关人的询问笔录</w:t>
      </w:r>
      <w:r>
        <w:rPr>
          <w:rFonts w:hint="eastAsia" w:ascii="CESI仿宋-GB13000" w:hAnsi="CESI仿宋-GB13000" w:eastAsia="CESI仿宋-GB13000" w:cs="CESI仿宋-GB13000"/>
          <w:color w:val="auto"/>
          <w:kern w:val="2"/>
          <w:sz w:val="32"/>
          <w:szCs w:val="32"/>
          <w:lang w:val="en" w:eastAsia="zh-CN" w:bidi="ar-SA"/>
        </w:rPr>
        <w:t>等证据</w:t>
      </w:r>
      <w:r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eastAsia="zh-CN"/>
        </w:rPr>
        <w:t>证实。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CESI仿宋-GB13000" w:hAnsi="CESI仿宋-GB13000" w:eastAsia="CESI仿宋-GB13000" w:cs="CESI仿宋-GB1300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3000" w:hAnsi="CESI仿宋-GB13000" w:eastAsia="CESI仿宋-GB13000" w:cs="CESI仿宋-GB13000"/>
          <w:color w:val="auto"/>
          <w:kern w:val="2"/>
          <w:sz w:val="32"/>
          <w:szCs w:val="32"/>
          <w:lang w:val="en-US" w:eastAsia="zh-CN" w:bidi="ar-SA"/>
        </w:rPr>
        <w:t>依照《行政处罚法》第二十八条、《药品流通监督管理办法》第三十五条和《药品管理法》第一百二十六条的规定，责令当事人改正违法行为并作如下处罚：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CESI仿宋-GB13000" w:hAnsi="CESI仿宋-GB13000" w:eastAsia="CESI仿宋-GB13000" w:cs="CESI仿宋-GB1300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3000" w:hAnsi="CESI仿宋-GB13000" w:eastAsia="CESI仿宋-GB13000" w:cs="CESI仿宋-GB13000"/>
          <w:color w:val="auto"/>
          <w:kern w:val="2"/>
          <w:sz w:val="32"/>
          <w:szCs w:val="32"/>
          <w:lang w:val="en-US" w:eastAsia="zh-CN" w:bidi="ar-SA"/>
        </w:rPr>
        <w:t>1.警告，罚款10000元；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CESI仿宋-GB13000" w:hAnsi="CESI仿宋-GB13000" w:eastAsia="CESI仿宋-GB13000" w:cs="CESI仿宋-GB1300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3000" w:hAnsi="CESI仿宋-GB13000" w:eastAsia="CESI仿宋-GB13000" w:cs="CESI仿宋-GB13000"/>
          <w:color w:val="auto"/>
          <w:kern w:val="2"/>
          <w:sz w:val="32"/>
          <w:szCs w:val="32"/>
          <w:lang w:val="en-US" w:eastAsia="zh-CN" w:bidi="ar-SA"/>
        </w:rPr>
        <w:t>2.没收违法所得6558.13元；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textAlignment w:val="auto"/>
        <w:rPr>
          <w:rFonts w:hint="eastAsia" w:ascii="CESI仿宋-GB13000" w:hAnsi="CESI仿宋-GB13000" w:eastAsia="CESI仿宋-GB13000" w:cs="CESI仿宋-GB1300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3000" w:hAnsi="CESI仿宋-GB13000" w:eastAsia="CESI仿宋-GB13000" w:cs="CESI仿宋-GB13000"/>
          <w:color w:val="auto"/>
          <w:kern w:val="2"/>
          <w:sz w:val="32"/>
          <w:szCs w:val="32"/>
          <w:lang w:val="en-US" w:eastAsia="zh-CN" w:bidi="ar-SA"/>
        </w:rPr>
        <w:t>罚没款合计：16558.13元。　</w:t>
      </w:r>
      <w:r>
        <w:rPr>
          <w:rFonts w:hint="eastAsia" w:ascii="CESI仿宋-GB2312" w:hAnsi="CESI仿宋-GB2312" w:eastAsia="CESI仿宋-GB2312" w:cs="CESI仿宋-GB2312"/>
          <w:color w:val="00000A"/>
          <w:kern w:val="2"/>
          <w:sz w:val="24"/>
          <w:szCs w:val="24"/>
        </w:rPr>
        <w:t>　</w:t>
      </w:r>
      <w:r>
        <w:rPr>
          <w:rFonts w:hint="eastAsia" w:ascii="CESI仿宋-GB2312" w:hAnsi="CESI仿宋-GB2312" w:eastAsia="CESI仿宋-GB2312" w:cs="CESI仿宋-GB2312"/>
          <w:color w:val="00000A"/>
          <w:kern w:val="2"/>
          <w:sz w:val="24"/>
          <w:szCs w:val="24"/>
          <w:lang w:val="en-US" w:eastAsia="zh-CN"/>
        </w:rPr>
        <w:t>　　</w:t>
      </w:r>
      <w:r>
        <w:rPr>
          <w:rFonts w:hint="eastAsia" w:ascii="CESI仿宋-GB13000" w:hAnsi="CESI仿宋-GB13000" w:eastAsia="CESI仿宋-GB13000" w:cs="CESI仿宋-GB13000"/>
          <w:color w:val="auto"/>
          <w:kern w:val="2"/>
          <w:sz w:val="32"/>
          <w:szCs w:val="32"/>
          <w:lang w:val="en-US" w:eastAsia="zh-CN" w:bidi="ar-SA"/>
        </w:rPr>
        <w:t>　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依据《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val="en-US" w:eastAsia="zh-CN"/>
        </w:rPr>
        <w:t>中华人民共和国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行政处罚法》第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六十七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条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第三款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规定，</w:t>
      </w: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  <w:t>当事人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eastAsia="zh-CN"/>
        </w:rPr>
        <w:t>接到本行政处罚决定之日起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val="en-US" w:eastAsia="zh-CN"/>
        </w:rPr>
        <w:t>15日内携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single"/>
          <w:lang w:val="en-US" w:eastAsia="zh-CN"/>
        </w:rPr>
        <w:t>福建省药品监督管理局福州药品稽查办公室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val="en-US" w:eastAsia="zh-CN"/>
        </w:rPr>
        <w:t>开具的行政罚没缴款通知书，至各银行网点或者通过电子支付系统缴纳并将缴纳凭证送交我办。到期不缴纳罚款的，依据《中华人民共和国行政处罚法》第七十二条第一款第（一）项的规定，本办将每日按罚款数额的百分之三加处罚款，并依法申请人民法院强制执行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eastAsia="zh-CN"/>
        </w:rPr>
        <w:t>。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</w:rPr>
        <w:t xml:space="preserve">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1"/>
        <w:jc w:val="both"/>
        <w:textAlignment w:val="auto"/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eastAsia="zh-CN"/>
        </w:rPr>
        <w:t>如你（单位）不服本行政处罚决定，可以在收到本行政处罚决定书之日起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single"/>
          <w:lang w:eastAsia="zh-CN"/>
        </w:rPr>
        <w:t>六十日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eastAsia="zh-CN"/>
        </w:rPr>
        <w:t>内向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single"/>
          <w:lang w:eastAsia="zh-CN"/>
        </w:rPr>
        <w:t>福建省人民政府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eastAsia="zh-CN"/>
        </w:rPr>
        <w:t>申请行政复议；也可以在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single"/>
          <w:lang w:eastAsia="zh-CN"/>
        </w:rPr>
        <w:t>六个月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eastAsia="zh-CN"/>
        </w:rPr>
        <w:t>内依法向福州市鼓楼区人民法院提起行政诉讼。申请行政复议或者提起行政诉讼期间，行政处罚不停止执行。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eastAsia="zh-CN"/>
        </w:rPr>
        <w:t>　　　　　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eastAsia="zh-CN"/>
        </w:rPr>
        <w:t>福建省药品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>监督管理局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val="en-US" w:eastAsia="zh-CN"/>
        </w:rPr>
        <w:t xml:space="preserve">           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eastAsia="zh-CN"/>
        </w:rPr>
        <w:t>福州药品稽查办公室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 w:firstLine="601"/>
        <w:jc w:val="center"/>
        <w:textAlignment w:val="auto"/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 xml:space="preserve">                 （印 章）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 w:firstLine="600"/>
        <w:jc w:val="center"/>
        <w:textAlignment w:val="auto"/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 xml:space="preserve">                  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val="en-US" w:eastAsia="zh-CN"/>
        </w:rPr>
        <w:t>2023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>年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月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  <w:t>16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auto"/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eastAsia="zh-CN"/>
        </w:rPr>
        <w:t>（我局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>将依法向社会公示本行政处罚决定信息）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-139065</wp:posOffset>
                </wp:positionH>
                <wp:positionV relativeFrom="paragraph">
                  <wp:posOffset>116840</wp:posOffset>
                </wp:positionV>
                <wp:extent cx="5550535" cy="635"/>
                <wp:effectExtent l="0" t="0" r="0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0.95pt;margin-top:9.2pt;height:0.05pt;width:437.05pt;z-index:251662336;mso-width-relative:page;mso-height-relative:page;" filled="f" stroked="t" coordsize="21600,21600" o:gfxdata="UEsFBgAAAAAAAAAAAAAAAAAAAAAAAFBLAwQKAAAAAACHTuJAAAAAAAAAAAAAAAAABAAAAGRycy9Q&#10;SwMEFAAAAAgAh07iQFNlYbnYAAAACQEAAA8AAABkcnMvZG93bnJldi54bWxNj8tuwjAQRfeV+Adr&#10;kLoDJxGUNMRBCAmpm1JB+wEmHpKIeBzF5hG+vsOqXc7coztn8tXdtuKKvW8cKYinEQik0pmGKgU/&#10;39tJCsIHTUa3jlDBgB5Wxegl15lxN9rj9RAqwSXkM62gDqHLpPRljVb7qeuQODu53urAY19J0+sb&#10;l9tWJlH0Jq1uiC/UusNNjeX5cLEK9hu3W6y72dfHLnyeFo/HgGU1KPU6jqMliID38AfDU5/VoWCn&#10;o7uQ8aJVMEnid0Y5SGcgGEjnSQLi+FzMQRa5/P9B8QtQSwMEFAAAAAgAh07iQAjRraXYAQAAnQMA&#10;AA4AAABkcnMvZTJvRG9jLnhtbK1TzY7TMBC+I/EOlu807aIsq6jpHrYsFwSVgAeY2k5iyX/ymKZ9&#10;CV4AiRucOHLnbdh9DMZuKLvLBSFymIw9nz/P92WyvNxbw3Yqovau5YvZnDPlhJfa9S1/9/b6yQVn&#10;mMBJMN6plh8U8svV40fLMTTqzA/eSBUZkThsxtDyIaXQVBWKQVnAmQ/KUbHz0UKiZewrGWEkdmuq&#10;s/n8vBp9lCF6oRBpd30s8lXh7zol0uuuQ5WYaTn1lkqMJW5zrFZLaPoIYdBiagP+oQsL2tGlJ6o1&#10;JGDvo/6DymoRPfouzYS3le86LVTRQGoW8wdq3gwQVNFC5mA42YT/j1a82m0i05K+3YIzB5a+0c3H&#10;bz8+fL79/onizdcvjCpk0xiwIfSV28RphWETs+Z9F21+kxq2L9YeTtaqfWKCNuu6ntdPa84E1c4p&#10;IY7q99EQMb1Q3rKctNxol3VDA7uXmI7QX5C8bRwbqeP64llmBJqbzkCi1AZSgq4vh9EbLa+1MfkI&#10;xn57ZSLbQZ6E8kw93IPlW9aAwxFXShkGzaBAPneSpUMgixwNM889WCU5M4pmP2cFmUCbv0GSfOMy&#10;tSpzOgnNNh+NzdnWy0Pxu8ormoHi2jSvecjurim/+1et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WAAAAZHJzL1BLAQIUABQAAAAIAIdO&#10;4kBTZWG52AAAAAkBAAAPAAAAAAAAAAEAIAAAADgAAABkcnMvZG93bnJldi54bWxQSwECFAAUAAAA&#10;CACHTuJACNGtpdgBAACdAwAADgAAAAAAAAABACAAAAA9AQAAZHJzL2Uyb0RvYy54bWxQSwUGAAAA&#10;AAYABgBZAQAAhwUAAAAA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CESI仿宋-GB2312" w:hAnsi="CESI仿宋-GB2312" w:eastAsia="CESI仿宋-GB2312" w:cs="CESI仿宋-GB2312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61312;mso-width-relative:page;mso-height-relative:page;" filled="f" stroked="t" coordsize="21600,21600" o:gfxdata="UEsFBgAAAAAAAAAAAAAAAAAAAAAAAFBLAwQKAAAAAACHTuJAAAAAAAAAAAAAAAAABAAAAGRycy9Q&#10;SwMEFAAAAAgAh07iQIvv85HXAAAACgEAAA8AAABkcnMvZG93bnJldi54bWxNj8FOwzAQRO9I/IO1&#10;SNyo3VY0NMTpAVFx4NQUIY6beEkC8dqK3Tb9e4w40OPsrGbeFJvJDuJIY+gda5jPFAjixpmeWw1v&#10;++3dA4gQkQ0OjknDmQJsyuurAnPjTryjYxVbkUI45Kihi9HnUoamI4th5jxx8j7daDEmObbSjHhK&#10;4XaQC6VW0mLPqaFDT08dNd/VwWp4ef+Sfokfe35ud5PfUn1+rUatb2/m6hFEpCn+P8MvfkKHMjHV&#10;7sAmiEFDGhI1LBfZKgOR/LXK7kHUf6c1yLKQlxPKH1BLAwQUAAAACACHTuJArmE4D9sBAACbAwAA&#10;DgAAAGRycy9lMm9Eb2MueG1srVPNjhMxDL4j8Q5R7nTaQdtlR53uYctyQVAJeAA3ycxEyh9x6LQv&#10;wQsgcYMTR+77NiyPsU5aygIXhOjBtWPH9vflm8Xlzhq2VRG1dy2fTaacKSe81K5v+ZvX14+ecIYJ&#10;nATjnWr5XiG/XD58sBhDo2o/eCNVZNTEYTOGlg8phaaqUAzKAk58UI6SnY8WEoWxr2SEkbpbU9XT&#10;6bwafZQheqEQ6XR1SPJl6d91SqSXXYcqMdNy2i0VG4vdZFstF9D0EcKgxXEN+IctLGhHQ0+tVpCA&#10;vYv6j1ZWi+jRd2kivK1812mhCgZCM5v+hubVAEEVLEQOhhNN+P/aihfbdWRa0tvVnDmw9Ea3H75+&#10;e//p+81HsrdfPjPKEE1jwIaqr9w6HiMM65gx77po8z+hYbtC7f5ErdolJujw7Hxez+szzgTlZvV5&#10;Yb76eTdETM+Utyw7LTfaZeDQwPY5JppHpT9K8rFxbGz5xeM5vakA0g2+JccGwoGuLzfRGy2vtTG5&#10;HmO/uTKRbSHroPwyJur6S1kesQIcDnUldVDIoEA+dZKlfSCCHEmZ5wWskpwZRcrPHjWEJoE2f1NJ&#10;o43LF1RR6RFlJvlAa/Y2Xu4L21WOSAFl46Nas8Tux+Tf/6aW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BYAAABkcnMvUEsBAhQAFAAAAAgA&#10;h07iQIvv85HXAAAACgEAAA8AAAAAAAAAAQAgAAAAOAAAAGRycy9kb3ducmV2LnhtbFBLAQIUABQA&#10;AAAIAIdO4kCuYTgP2wEAAJsDAAAOAAAAAAAAAAEAIAAAADwBAABkcnMvZTJvRG9jLnhtbFBLBQYA&#10;AAAABgAGAFkBAACJBQAAAAA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>本文书一式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u w:val="single"/>
          <w:lang w:eastAsia="zh-CN"/>
        </w:rPr>
        <w:t>三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>份，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u w:val="single"/>
          <w:lang w:eastAsia="zh-CN"/>
        </w:rPr>
        <w:t>一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>份送达，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u w:val="single"/>
        </w:rPr>
        <w:t>一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>份归档，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u w:val="none"/>
        </w:rPr>
        <w:t xml:space="preserve"> 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u w:val="single"/>
          <w:lang w:eastAsia="zh-CN"/>
        </w:rPr>
        <w:t>一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u w:val="none"/>
          <w:lang w:eastAsia="zh-CN"/>
        </w:rPr>
        <w:t>份留底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文泉驿微米黑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文泉驿微米黑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文泉驿微米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CESI仿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951A5D"/>
    <w:rsid w:val="02D568CE"/>
    <w:rsid w:val="0DA82202"/>
    <w:rsid w:val="0FBF1DFA"/>
    <w:rsid w:val="1299763A"/>
    <w:rsid w:val="13951A5D"/>
    <w:rsid w:val="1F352B52"/>
    <w:rsid w:val="214F23CD"/>
    <w:rsid w:val="2FF997B4"/>
    <w:rsid w:val="3BF9F299"/>
    <w:rsid w:val="3C340AB4"/>
    <w:rsid w:val="3FDF5535"/>
    <w:rsid w:val="43941E63"/>
    <w:rsid w:val="452C208B"/>
    <w:rsid w:val="4D9C59BC"/>
    <w:rsid w:val="53BB5D45"/>
    <w:rsid w:val="56D41464"/>
    <w:rsid w:val="577A0985"/>
    <w:rsid w:val="57F2E2F8"/>
    <w:rsid w:val="57FC5FEF"/>
    <w:rsid w:val="5B9BCCF5"/>
    <w:rsid w:val="5BBE274E"/>
    <w:rsid w:val="5FFF9B13"/>
    <w:rsid w:val="6CA0320D"/>
    <w:rsid w:val="6D6A2713"/>
    <w:rsid w:val="6FE58484"/>
    <w:rsid w:val="6FFE9CEC"/>
    <w:rsid w:val="77FD2B6B"/>
    <w:rsid w:val="79FFBD93"/>
    <w:rsid w:val="7B5FC468"/>
    <w:rsid w:val="7DF76620"/>
    <w:rsid w:val="7EA7A46F"/>
    <w:rsid w:val="7F770486"/>
    <w:rsid w:val="7F7F8EDF"/>
    <w:rsid w:val="7FC76173"/>
    <w:rsid w:val="7FEF00D9"/>
    <w:rsid w:val="9FC67D3C"/>
    <w:rsid w:val="B7F65192"/>
    <w:rsid w:val="BEFE4861"/>
    <w:rsid w:val="C67F4EA2"/>
    <w:rsid w:val="D4B7BE53"/>
    <w:rsid w:val="DFF725D6"/>
    <w:rsid w:val="E31E7E8E"/>
    <w:rsid w:val="E7B97F5C"/>
    <w:rsid w:val="EEFBD82B"/>
    <w:rsid w:val="F6E77158"/>
    <w:rsid w:val="F73FDD89"/>
    <w:rsid w:val="FAD5553C"/>
    <w:rsid w:val="FADEC6A5"/>
    <w:rsid w:val="FE7D4C3E"/>
    <w:rsid w:val="FF57DCDE"/>
    <w:rsid w:val="FFCF58A8"/>
    <w:rsid w:val="FFF7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1"/>
    <w:qFormat/>
    <w:uiPriority w:val="0"/>
    <w:pPr>
      <w:ind w:firstLine="602" w:firstLineChars="200"/>
    </w:pPr>
    <w:rPr>
      <w:rFonts w:ascii="仿宋" w:hAnsi="仿宋" w:eastAsia="仿宋"/>
      <w:sz w:val="30"/>
      <w:szCs w:val="30"/>
    </w:rPr>
  </w:style>
  <w:style w:type="paragraph" w:styleId="3">
    <w:name w:val="Body Text"/>
    <w:basedOn w:val="1"/>
    <w:qFormat/>
    <w:uiPriority w:val="0"/>
    <w:pPr>
      <w:ind w:left="220"/>
    </w:pPr>
    <w:rPr>
      <w:rFonts w:ascii="宋体" w:hAnsi="宋体" w:eastAsia="宋体"/>
      <w:sz w:val="32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NormalCharacter"/>
    <w:qFormat/>
    <w:uiPriority w:val="0"/>
    <w:rPr>
      <w:rFonts w:ascii="Times New Roman" w:hAnsi="Times New Roman" w:eastAsia="宋体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2021-10-27T06:38:00Z</dcterms:created>
  <dc:creator>詹德忠/fjfda</dc:creator>
  <cp:lastModifiedBy>魏一平</cp:lastModifiedBy>
  <cp:lastPrinted>2022-10-01T15:59:00Z</cp:lastPrinted>
  <dcterms:modified xsi:type="dcterms:W3CDTF">2023-10-13T16:31:42Z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74281CA161B44D7B8630A1555673DAA1</vt:lpwstr>
  </property>
</Properties>
</file>